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97B9" w14:textId="090F9441" w:rsidR="000722F9" w:rsidRPr="008E2D22" w:rsidRDefault="000722F9" w:rsidP="006F0AF6">
      <w:pPr>
        <w:jc w:val="center"/>
        <w:rPr>
          <w:rFonts w:ascii="Times New Roman" w:hAnsi="Times New Roman" w:cs="Times New Roman"/>
          <w:sz w:val="36"/>
          <w:szCs w:val="36"/>
        </w:rPr>
      </w:pPr>
      <w:r w:rsidRPr="008E2D22">
        <w:rPr>
          <w:rFonts w:ascii="Times New Roman" w:hAnsi="Times New Roman" w:cs="Times New Roman"/>
          <w:sz w:val="36"/>
          <w:szCs w:val="36"/>
        </w:rPr>
        <w:t xml:space="preserve">Impact de la pandémie </w:t>
      </w:r>
      <w:r w:rsidR="00137B14">
        <w:rPr>
          <w:rFonts w:ascii="Times New Roman" w:hAnsi="Times New Roman" w:cs="Times New Roman"/>
          <w:sz w:val="36"/>
          <w:szCs w:val="36"/>
        </w:rPr>
        <w:t>c</w:t>
      </w:r>
      <w:r w:rsidRPr="008E2D22">
        <w:rPr>
          <w:rFonts w:ascii="Times New Roman" w:hAnsi="Times New Roman" w:cs="Times New Roman"/>
          <w:sz w:val="36"/>
          <w:szCs w:val="36"/>
        </w:rPr>
        <w:t>ovid-19 sur les industries culturelles et créatives en Polynésie française</w:t>
      </w:r>
    </w:p>
    <w:p w14:paraId="75F96C8B" w14:textId="77777777" w:rsidR="000722F9" w:rsidRPr="0051571F" w:rsidRDefault="000722F9" w:rsidP="006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14:paraId="7CC6169D" w14:textId="544F89BB" w:rsidR="004E0203" w:rsidRPr="0051571F" w:rsidRDefault="004E0203" w:rsidP="006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51571F">
        <w:rPr>
          <w:rFonts w:ascii="Times New Roman" w:hAnsi="Times New Roman" w:cs="Times New Roman"/>
        </w:rPr>
        <w:t xml:space="preserve">Yasmina </w:t>
      </w:r>
      <w:r w:rsidR="00AD49F3">
        <w:rPr>
          <w:rFonts w:ascii="Times New Roman" w:hAnsi="Times New Roman" w:cs="Times New Roman"/>
        </w:rPr>
        <w:t>Kapheim-</w:t>
      </w:r>
      <w:r w:rsidRPr="0051571F">
        <w:rPr>
          <w:rFonts w:ascii="Times New Roman" w:hAnsi="Times New Roman" w:cs="Times New Roman"/>
        </w:rPr>
        <w:t>Taerea</w:t>
      </w:r>
      <w:r w:rsidR="00D370A1" w:rsidRPr="0051571F">
        <w:rPr>
          <w:rStyle w:val="Appelnotedebasdep"/>
          <w:rFonts w:ascii="Times New Roman" w:hAnsi="Times New Roman" w:cs="Times New Roman"/>
        </w:rPr>
        <w:footnoteReference w:id="1"/>
      </w:r>
    </w:p>
    <w:p w14:paraId="565E8AA2" w14:textId="77777777" w:rsidR="00737D37" w:rsidRPr="0051571F" w:rsidRDefault="004E0203" w:rsidP="006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51571F">
        <w:rPr>
          <w:rFonts w:ascii="Times New Roman" w:hAnsi="Times New Roman" w:cs="Times New Roman"/>
        </w:rPr>
        <w:t>Résumé</w:t>
      </w:r>
    </w:p>
    <w:p w14:paraId="03F93D99" w14:textId="77777777" w:rsidR="00737D37" w:rsidRPr="0051571F" w:rsidRDefault="00737D37" w:rsidP="006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14:paraId="67217648" w14:textId="2CB3C0F4" w:rsidR="004A03A6" w:rsidRPr="0051571F" w:rsidRDefault="00324B65" w:rsidP="006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51571F">
        <w:rPr>
          <w:rFonts w:ascii="Times New Roman" w:hAnsi="Times New Roman" w:cs="Times New Roman"/>
        </w:rPr>
        <w:t>L</w:t>
      </w:r>
      <w:r w:rsidR="00DD429C" w:rsidRPr="0051571F">
        <w:rPr>
          <w:rFonts w:ascii="Times New Roman" w:hAnsi="Times New Roman" w:cs="Times New Roman"/>
        </w:rPr>
        <w:t xml:space="preserve">’absence de données statistiques </w:t>
      </w:r>
      <w:r w:rsidR="00C57066" w:rsidRPr="0051571F">
        <w:rPr>
          <w:rFonts w:ascii="Times New Roman" w:hAnsi="Times New Roman" w:cs="Times New Roman"/>
        </w:rPr>
        <w:t>exhaustives</w:t>
      </w:r>
      <w:r w:rsidR="00F7323C" w:rsidRPr="0051571F">
        <w:rPr>
          <w:rFonts w:ascii="Times New Roman" w:hAnsi="Times New Roman" w:cs="Times New Roman"/>
        </w:rPr>
        <w:t xml:space="preserve"> </w:t>
      </w:r>
      <w:r w:rsidR="009C1A47" w:rsidRPr="0051571F">
        <w:rPr>
          <w:rFonts w:ascii="Times New Roman" w:hAnsi="Times New Roman" w:cs="Times New Roman"/>
        </w:rPr>
        <w:t xml:space="preserve">sur les industries culturelles et créatives (ICC) </w:t>
      </w:r>
      <w:r w:rsidR="00FB1359" w:rsidRPr="0051571F">
        <w:rPr>
          <w:rFonts w:ascii="Times New Roman" w:hAnsi="Times New Roman" w:cs="Times New Roman"/>
        </w:rPr>
        <w:t xml:space="preserve">entrave la prise de décisions des politiques culturelles </w:t>
      </w:r>
      <w:r w:rsidR="00FB1359">
        <w:rPr>
          <w:rFonts w:ascii="Times New Roman" w:hAnsi="Times New Roman" w:cs="Times New Roman"/>
        </w:rPr>
        <w:t>sur</w:t>
      </w:r>
      <w:r w:rsidR="00FB1359" w:rsidRPr="0051571F">
        <w:rPr>
          <w:rFonts w:ascii="Times New Roman" w:hAnsi="Times New Roman" w:cs="Times New Roman"/>
        </w:rPr>
        <w:t xml:space="preserve"> leur valorisation économique et sociale </w:t>
      </w:r>
      <w:r w:rsidR="001365CA">
        <w:rPr>
          <w:rFonts w:ascii="Times New Roman" w:hAnsi="Times New Roman" w:cs="Times New Roman"/>
        </w:rPr>
        <w:t xml:space="preserve">et </w:t>
      </w:r>
      <w:r w:rsidR="00C57066" w:rsidRPr="0051571F">
        <w:rPr>
          <w:rFonts w:ascii="Times New Roman" w:hAnsi="Times New Roman" w:cs="Times New Roman"/>
        </w:rPr>
        <w:t>constitue un obstacle à</w:t>
      </w:r>
      <w:r w:rsidR="00964B34" w:rsidRPr="0051571F">
        <w:rPr>
          <w:rFonts w:ascii="Times New Roman" w:hAnsi="Times New Roman" w:cs="Times New Roman"/>
        </w:rPr>
        <w:t xml:space="preserve"> </w:t>
      </w:r>
      <w:r w:rsidR="00C57066" w:rsidRPr="0051571F">
        <w:rPr>
          <w:rFonts w:ascii="Times New Roman" w:hAnsi="Times New Roman" w:cs="Times New Roman"/>
        </w:rPr>
        <w:t>l’accès aux</w:t>
      </w:r>
      <w:r w:rsidR="00861CF7" w:rsidRPr="0051571F">
        <w:rPr>
          <w:rFonts w:ascii="Times New Roman" w:hAnsi="Times New Roman" w:cs="Times New Roman"/>
        </w:rPr>
        <w:t xml:space="preserve"> ressources et </w:t>
      </w:r>
      <w:r w:rsidR="00C57066" w:rsidRPr="0051571F">
        <w:rPr>
          <w:rFonts w:ascii="Times New Roman" w:hAnsi="Times New Roman" w:cs="Times New Roman"/>
        </w:rPr>
        <w:t>i</w:t>
      </w:r>
      <w:r w:rsidR="00861CF7" w:rsidRPr="0051571F">
        <w:rPr>
          <w:rFonts w:ascii="Times New Roman" w:hAnsi="Times New Roman" w:cs="Times New Roman"/>
        </w:rPr>
        <w:t xml:space="preserve">nvestissements nécessaires à </w:t>
      </w:r>
      <w:r w:rsidR="00463B9B" w:rsidRPr="0051571F">
        <w:rPr>
          <w:rFonts w:ascii="Times New Roman" w:hAnsi="Times New Roman" w:cs="Times New Roman"/>
        </w:rPr>
        <w:t>leur</w:t>
      </w:r>
      <w:r w:rsidR="00861CF7" w:rsidRPr="0051571F">
        <w:rPr>
          <w:rFonts w:ascii="Times New Roman" w:hAnsi="Times New Roman" w:cs="Times New Roman"/>
        </w:rPr>
        <w:t xml:space="preserve"> développement durable. La pandémie C</w:t>
      </w:r>
      <w:r w:rsidR="00194359" w:rsidRPr="0051571F">
        <w:rPr>
          <w:rFonts w:ascii="Times New Roman" w:hAnsi="Times New Roman" w:cs="Times New Roman"/>
        </w:rPr>
        <w:t>ovid</w:t>
      </w:r>
      <w:r w:rsidR="00861CF7" w:rsidRPr="0051571F">
        <w:rPr>
          <w:rFonts w:ascii="Times New Roman" w:hAnsi="Times New Roman" w:cs="Times New Roman"/>
        </w:rPr>
        <w:t>-19 a exacerbé cette situation.</w:t>
      </w:r>
      <w:r w:rsidR="00194359" w:rsidRPr="0051571F">
        <w:rPr>
          <w:rFonts w:ascii="Times New Roman" w:hAnsi="Times New Roman" w:cs="Times New Roman"/>
        </w:rPr>
        <w:t xml:space="preserve"> </w:t>
      </w:r>
      <w:r w:rsidR="00861CF7" w:rsidRPr="0051571F">
        <w:rPr>
          <w:rFonts w:ascii="Times New Roman" w:hAnsi="Times New Roman" w:cs="Times New Roman"/>
        </w:rPr>
        <w:t xml:space="preserve">Dans ce contexte, </w:t>
      </w:r>
      <w:r w:rsidR="00194359" w:rsidRPr="0051571F">
        <w:rPr>
          <w:rFonts w:ascii="Times New Roman" w:hAnsi="Times New Roman" w:cs="Times New Roman"/>
        </w:rPr>
        <w:t>la Communauté du Pacifique Sud (CPS) a</w:t>
      </w:r>
      <w:r w:rsidR="00861CF7" w:rsidRPr="0051571F">
        <w:rPr>
          <w:rFonts w:ascii="Times New Roman" w:hAnsi="Times New Roman" w:cs="Times New Roman"/>
        </w:rPr>
        <w:t xml:space="preserve"> </w:t>
      </w:r>
      <w:r w:rsidR="00882101" w:rsidRPr="0051571F">
        <w:rPr>
          <w:rFonts w:ascii="Times New Roman" w:hAnsi="Times New Roman" w:cs="Times New Roman"/>
        </w:rPr>
        <w:t>mené</w:t>
      </w:r>
      <w:r w:rsidR="00194359" w:rsidRPr="0051571F">
        <w:rPr>
          <w:rFonts w:ascii="Times New Roman" w:hAnsi="Times New Roman" w:cs="Times New Roman"/>
        </w:rPr>
        <w:t xml:space="preserve"> une</w:t>
      </w:r>
      <w:r w:rsidR="00861CF7" w:rsidRPr="0051571F">
        <w:rPr>
          <w:rFonts w:ascii="Times New Roman" w:hAnsi="Times New Roman" w:cs="Times New Roman"/>
        </w:rPr>
        <w:t xml:space="preserve"> évaluation </w:t>
      </w:r>
      <w:r w:rsidR="004808BD" w:rsidRPr="0051571F">
        <w:rPr>
          <w:rFonts w:ascii="Times New Roman" w:hAnsi="Times New Roman" w:cs="Times New Roman"/>
        </w:rPr>
        <w:t xml:space="preserve">comparative </w:t>
      </w:r>
      <w:r w:rsidR="00861CF7" w:rsidRPr="0051571F">
        <w:rPr>
          <w:rFonts w:ascii="Times New Roman" w:hAnsi="Times New Roman" w:cs="Times New Roman"/>
        </w:rPr>
        <w:t>de l'impact de la</w:t>
      </w:r>
      <w:r w:rsidR="00572F23" w:rsidRPr="0051571F">
        <w:rPr>
          <w:rFonts w:ascii="Times New Roman" w:hAnsi="Times New Roman" w:cs="Times New Roman"/>
        </w:rPr>
        <w:t xml:space="preserve"> </w:t>
      </w:r>
      <w:r w:rsidR="00343855">
        <w:rPr>
          <w:rFonts w:ascii="Times New Roman" w:hAnsi="Times New Roman" w:cs="Times New Roman"/>
        </w:rPr>
        <w:t>crise sanitaire</w:t>
      </w:r>
      <w:r w:rsidR="00861CF7" w:rsidRPr="0051571F">
        <w:rPr>
          <w:rFonts w:ascii="Times New Roman" w:hAnsi="Times New Roman" w:cs="Times New Roman"/>
        </w:rPr>
        <w:t xml:space="preserve"> sur les ICC, visant à identifier les défis et opportunités postpandémie</w:t>
      </w:r>
      <w:r w:rsidR="00257893">
        <w:rPr>
          <w:rFonts w:ascii="Times New Roman" w:hAnsi="Times New Roman" w:cs="Times New Roman"/>
        </w:rPr>
        <w:t xml:space="preserve"> à</w:t>
      </w:r>
      <w:r w:rsidR="00861CF7" w:rsidRPr="0051571F">
        <w:rPr>
          <w:rFonts w:ascii="Times New Roman" w:hAnsi="Times New Roman" w:cs="Times New Roman"/>
        </w:rPr>
        <w:t xml:space="preserve"> Fidji et </w:t>
      </w:r>
      <w:r w:rsidR="00DF4BFD">
        <w:rPr>
          <w:rFonts w:ascii="Times New Roman" w:hAnsi="Times New Roman" w:cs="Times New Roman"/>
        </w:rPr>
        <w:t>en</w:t>
      </w:r>
      <w:r w:rsidR="00861CF7" w:rsidRPr="0051571F">
        <w:rPr>
          <w:rFonts w:ascii="Times New Roman" w:hAnsi="Times New Roman" w:cs="Times New Roman"/>
        </w:rPr>
        <w:t xml:space="preserve"> Polynésie française</w:t>
      </w:r>
      <w:r w:rsidR="00343855">
        <w:rPr>
          <w:rFonts w:ascii="Times New Roman" w:hAnsi="Times New Roman" w:cs="Times New Roman"/>
        </w:rPr>
        <w:t xml:space="preserve">. </w:t>
      </w:r>
      <w:r w:rsidR="009A1200">
        <w:rPr>
          <w:rFonts w:ascii="Times New Roman" w:hAnsi="Times New Roman" w:cs="Times New Roman"/>
        </w:rPr>
        <w:t>Ces deux pays</w:t>
      </w:r>
      <w:r w:rsidR="00343855">
        <w:rPr>
          <w:rFonts w:ascii="Times New Roman" w:hAnsi="Times New Roman" w:cs="Times New Roman"/>
        </w:rPr>
        <w:t xml:space="preserve"> ont été choisis </w:t>
      </w:r>
      <w:r w:rsidR="00534E6A">
        <w:rPr>
          <w:rFonts w:ascii="Times New Roman" w:hAnsi="Times New Roman" w:cs="Times New Roman"/>
        </w:rPr>
        <w:t xml:space="preserve">du fait de la fermeture de leurs </w:t>
      </w:r>
      <w:r w:rsidR="00343855">
        <w:rPr>
          <w:rFonts w:ascii="Times New Roman" w:hAnsi="Times New Roman" w:cs="Times New Roman"/>
        </w:rPr>
        <w:t>frontières</w:t>
      </w:r>
      <w:r w:rsidR="008C2B48">
        <w:rPr>
          <w:rFonts w:ascii="Times New Roman" w:hAnsi="Times New Roman" w:cs="Times New Roman"/>
        </w:rPr>
        <w:t xml:space="preserve">, touchant </w:t>
      </w:r>
      <w:r w:rsidR="009A1200">
        <w:rPr>
          <w:rFonts w:ascii="Times New Roman" w:hAnsi="Times New Roman" w:cs="Times New Roman"/>
        </w:rPr>
        <w:t>considérablement</w:t>
      </w:r>
      <w:r w:rsidR="00343855">
        <w:rPr>
          <w:rFonts w:ascii="Times New Roman" w:hAnsi="Times New Roman" w:cs="Times New Roman"/>
        </w:rPr>
        <w:t xml:space="preserve"> </w:t>
      </w:r>
      <w:r w:rsidR="00861CF7" w:rsidRPr="0051571F">
        <w:rPr>
          <w:rFonts w:ascii="Times New Roman" w:hAnsi="Times New Roman" w:cs="Times New Roman"/>
        </w:rPr>
        <w:t>leur secteur touristique.</w:t>
      </w:r>
      <w:r w:rsidR="00E22BF7">
        <w:rPr>
          <w:rFonts w:ascii="Times New Roman" w:hAnsi="Times New Roman" w:cs="Times New Roman"/>
        </w:rPr>
        <w:t xml:space="preserve"> </w:t>
      </w:r>
      <w:r w:rsidR="00DF19F8">
        <w:rPr>
          <w:rFonts w:ascii="Times New Roman" w:hAnsi="Times New Roman" w:cs="Times New Roman"/>
        </w:rPr>
        <w:t xml:space="preserve">La présente </w:t>
      </w:r>
      <w:r w:rsidR="00DD7A23">
        <w:rPr>
          <w:rFonts w:ascii="Times New Roman" w:hAnsi="Times New Roman" w:cs="Times New Roman"/>
        </w:rPr>
        <w:t>étude évalue</w:t>
      </w:r>
      <w:r w:rsidR="000D292A">
        <w:rPr>
          <w:rFonts w:ascii="Times New Roman" w:hAnsi="Times New Roman" w:cs="Times New Roman"/>
        </w:rPr>
        <w:t xml:space="preserve"> d’une part</w:t>
      </w:r>
      <w:r w:rsidR="000722F9" w:rsidRPr="0051571F">
        <w:rPr>
          <w:rFonts w:ascii="Times New Roman" w:hAnsi="Times New Roman" w:cs="Times New Roman"/>
        </w:rPr>
        <w:t xml:space="preserve"> </w:t>
      </w:r>
      <w:r w:rsidR="00C31938">
        <w:rPr>
          <w:rFonts w:ascii="Times New Roman" w:hAnsi="Times New Roman" w:cs="Times New Roman"/>
        </w:rPr>
        <w:t xml:space="preserve">l’impact sanitaire sur </w:t>
      </w:r>
      <w:r w:rsidR="000722F9" w:rsidRPr="0051571F">
        <w:rPr>
          <w:rFonts w:ascii="Times New Roman" w:hAnsi="Times New Roman" w:cs="Times New Roman"/>
        </w:rPr>
        <w:t xml:space="preserve">cinq domaines des </w:t>
      </w:r>
      <w:r w:rsidR="00446ED2" w:rsidRPr="0051571F">
        <w:rPr>
          <w:rFonts w:ascii="Times New Roman" w:hAnsi="Times New Roman" w:cs="Times New Roman"/>
        </w:rPr>
        <w:t>ICC</w:t>
      </w:r>
      <w:r w:rsidR="00EA43EA">
        <w:rPr>
          <w:rFonts w:ascii="Times New Roman" w:hAnsi="Times New Roman" w:cs="Times New Roman"/>
        </w:rPr>
        <w:t xml:space="preserve"> </w:t>
      </w:r>
      <w:r w:rsidR="00EC7CDB">
        <w:rPr>
          <w:rFonts w:ascii="Times New Roman" w:hAnsi="Times New Roman" w:cs="Times New Roman"/>
        </w:rPr>
        <w:t xml:space="preserve">en Polynésie française </w:t>
      </w:r>
      <w:r w:rsidR="00EA43EA">
        <w:rPr>
          <w:rFonts w:ascii="Times New Roman" w:hAnsi="Times New Roman" w:cs="Times New Roman"/>
        </w:rPr>
        <w:t xml:space="preserve">que sont </w:t>
      </w:r>
      <w:r w:rsidR="00F94FD6">
        <w:rPr>
          <w:rFonts w:ascii="Times New Roman" w:hAnsi="Times New Roman" w:cs="Times New Roman"/>
        </w:rPr>
        <w:t>l</w:t>
      </w:r>
      <w:r w:rsidR="000722F9" w:rsidRPr="0051571F">
        <w:rPr>
          <w:rFonts w:ascii="Times New Roman" w:hAnsi="Times New Roman" w:cs="Times New Roman"/>
        </w:rPr>
        <w:t>es arts de la scène</w:t>
      </w:r>
      <w:r w:rsidR="00AE0F24">
        <w:rPr>
          <w:rFonts w:ascii="Times New Roman" w:hAnsi="Times New Roman" w:cs="Times New Roman"/>
        </w:rPr>
        <w:t xml:space="preserve">, </w:t>
      </w:r>
      <w:r w:rsidR="000722F9" w:rsidRPr="0051571F">
        <w:rPr>
          <w:rFonts w:ascii="Times New Roman" w:hAnsi="Times New Roman" w:cs="Times New Roman"/>
        </w:rPr>
        <w:t>des festivités</w:t>
      </w:r>
      <w:r w:rsidR="00F94FD6">
        <w:rPr>
          <w:rFonts w:ascii="Times New Roman" w:hAnsi="Times New Roman" w:cs="Times New Roman"/>
        </w:rPr>
        <w:t xml:space="preserve">, les </w:t>
      </w:r>
      <w:r w:rsidR="000722F9" w:rsidRPr="0051571F">
        <w:rPr>
          <w:rFonts w:ascii="Times New Roman" w:hAnsi="Times New Roman" w:cs="Times New Roman"/>
        </w:rPr>
        <w:t>arts visuels</w:t>
      </w:r>
      <w:r w:rsidR="00AE0F24">
        <w:rPr>
          <w:rFonts w:ascii="Times New Roman" w:hAnsi="Times New Roman" w:cs="Times New Roman"/>
        </w:rPr>
        <w:t xml:space="preserve">, </w:t>
      </w:r>
      <w:r w:rsidR="000722F9" w:rsidRPr="0051571F">
        <w:rPr>
          <w:rFonts w:ascii="Times New Roman" w:hAnsi="Times New Roman" w:cs="Times New Roman"/>
        </w:rPr>
        <w:t>l’artisanat</w:t>
      </w:r>
      <w:r w:rsidR="00F94FD6">
        <w:rPr>
          <w:rFonts w:ascii="Times New Roman" w:hAnsi="Times New Roman" w:cs="Times New Roman"/>
        </w:rPr>
        <w:t>, l</w:t>
      </w:r>
      <w:r w:rsidR="000722F9" w:rsidRPr="0051571F">
        <w:rPr>
          <w:rFonts w:ascii="Times New Roman" w:hAnsi="Times New Roman" w:cs="Times New Roman"/>
        </w:rPr>
        <w:t>e livre</w:t>
      </w:r>
      <w:r w:rsidR="00F94FD6">
        <w:rPr>
          <w:rFonts w:ascii="Times New Roman" w:hAnsi="Times New Roman" w:cs="Times New Roman"/>
        </w:rPr>
        <w:t>, l</w:t>
      </w:r>
      <w:r w:rsidR="000722F9" w:rsidRPr="0051571F">
        <w:rPr>
          <w:rFonts w:ascii="Times New Roman" w:hAnsi="Times New Roman" w:cs="Times New Roman"/>
        </w:rPr>
        <w:t>’audiovisuel</w:t>
      </w:r>
      <w:r w:rsidR="00D82A65">
        <w:rPr>
          <w:rFonts w:ascii="Times New Roman" w:hAnsi="Times New Roman" w:cs="Times New Roman"/>
        </w:rPr>
        <w:t xml:space="preserve">, </w:t>
      </w:r>
      <w:r w:rsidR="000722F9" w:rsidRPr="0051571F">
        <w:rPr>
          <w:rFonts w:ascii="Times New Roman" w:hAnsi="Times New Roman" w:cs="Times New Roman"/>
        </w:rPr>
        <w:t xml:space="preserve">les médias interactifs </w:t>
      </w:r>
      <w:r w:rsidR="00F94FD6">
        <w:rPr>
          <w:rFonts w:ascii="Times New Roman" w:hAnsi="Times New Roman" w:cs="Times New Roman"/>
        </w:rPr>
        <w:t>et l</w:t>
      </w:r>
      <w:r w:rsidR="000722F9" w:rsidRPr="0051571F">
        <w:rPr>
          <w:rFonts w:ascii="Times New Roman" w:hAnsi="Times New Roman" w:cs="Times New Roman"/>
        </w:rPr>
        <w:t>e stylisme</w:t>
      </w:r>
      <w:r w:rsidR="009502BB">
        <w:rPr>
          <w:rFonts w:ascii="Times New Roman" w:hAnsi="Times New Roman" w:cs="Times New Roman"/>
        </w:rPr>
        <w:t xml:space="preserve"> et tente </w:t>
      </w:r>
      <w:r w:rsidR="00392605">
        <w:rPr>
          <w:rFonts w:ascii="Times New Roman" w:hAnsi="Times New Roman" w:cs="Times New Roman"/>
        </w:rPr>
        <w:t xml:space="preserve">d’autre part </w:t>
      </w:r>
      <w:r w:rsidR="004A03A6" w:rsidRPr="0051571F">
        <w:rPr>
          <w:rFonts w:ascii="Times New Roman" w:hAnsi="Times New Roman" w:cs="Times New Roman"/>
        </w:rPr>
        <w:t>de mesurer le potentiel des ICC en termes de création d'emplois, de croissance économique et de lutte contre la pauvreté</w:t>
      </w:r>
      <w:r w:rsidR="00180487">
        <w:rPr>
          <w:rFonts w:ascii="Times New Roman" w:hAnsi="Times New Roman" w:cs="Times New Roman"/>
        </w:rPr>
        <w:t xml:space="preserve"> sur le </w:t>
      </w:r>
      <w:r w:rsidR="00180487" w:rsidRPr="00180487">
        <w:rPr>
          <w:rFonts w:ascii="Times New Roman" w:hAnsi="Times New Roman" w:cs="Times New Roman"/>
          <w:i/>
          <w:iCs/>
        </w:rPr>
        <w:t>fenua</w:t>
      </w:r>
      <w:r w:rsidR="004A03A6" w:rsidRPr="0051571F">
        <w:rPr>
          <w:rFonts w:ascii="Times New Roman" w:hAnsi="Times New Roman" w:cs="Times New Roman"/>
        </w:rPr>
        <w:t>.</w:t>
      </w:r>
    </w:p>
    <w:p w14:paraId="09C38346" w14:textId="77777777" w:rsidR="000722F9" w:rsidRPr="0051571F" w:rsidRDefault="000722F9" w:rsidP="006F0AF6">
      <w:pPr>
        <w:rPr>
          <w:rFonts w:ascii="Times New Roman" w:hAnsi="Times New Roman" w:cs="Times New Roman"/>
        </w:rPr>
      </w:pPr>
    </w:p>
    <w:p w14:paraId="2C8FC31D" w14:textId="1A2D86D2" w:rsidR="00F201B0" w:rsidRPr="0051571F" w:rsidRDefault="00F201B0" w:rsidP="006F0AF6">
      <w:pPr>
        <w:rPr>
          <w:rFonts w:ascii="Times New Roman" w:hAnsi="Times New Roman" w:cs="Times New Roman"/>
        </w:rPr>
      </w:pPr>
      <w:r w:rsidRPr="0051571F">
        <w:rPr>
          <w:rFonts w:ascii="Times New Roman" w:hAnsi="Times New Roman" w:cs="Times New Roman"/>
        </w:rPr>
        <w:t xml:space="preserve">Mots clés : </w:t>
      </w:r>
      <w:r w:rsidR="00262D16">
        <w:rPr>
          <w:rFonts w:ascii="Times New Roman" w:hAnsi="Times New Roman" w:cs="Times New Roman"/>
        </w:rPr>
        <w:t>i</w:t>
      </w:r>
      <w:r w:rsidR="00F804B1" w:rsidRPr="0051571F">
        <w:rPr>
          <w:rFonts w:ascii="Times New Roman" w:hAnsi="Times New Roman" w:cs="Times New Roman"/>
        </w:rPr>
        <w:t xml:space="preserve">ndustries culturelles et créatives, </w:t>
      </w:r>
      <w:r w:rsidR="009C13A6">
        <w:rPr>
          <w:rFonts w:ascii="Times New Roman" w:hAnsi="Times New Roman" w:cs="Times New Roman"/>
        </w:rPr>
        <w:t>c</w:t>
      </w:r>
      <w:r w:rsidR="00212CA0" w:rsidRPr="0051571F">
        <w:rPr>
          <w:rFonts w:ascii="Times New Roman" w:hAnsi="Times New Roman" w:cs="Times New Roman"/>
        </w:rPr>
        <w:t xml:space="preserve">ovid-19, </w:t>
      </w:r>
      <w:r w:rsidR="009C13A6">
        <w:rPr>
          <w:rFonts w:ascii="Times New Roman" w:hAnsi="Times New Roman" w:cs="Times New Roman"/>
        </w:rPr>
        <w:t>c</w:t>
      </w:r>
      <w:r w:rsidR="00212CA0" w:rsidRPr="0051571F">
        <w:rPr>
          <w:rFonts w:ascii="Times New Roman" w:hAnsi="Times New Roman" w:cs="Times New Roman"/>
        </w:rPr>
        <w:t xml:space="preserve">rise sanitaire, </w:t>
      </w:r>
      <w:r w:rsidR="00262D16">
        <w:rPr>
          <w:rFonts w:ascii="Times New Roman" w:hAnsi="Times New Roman" w:cs="Times New Roman"/>
        </w:rPr>
        <w:t>r</w:t>
      </w:r>
      <w:r w:rsidR="00212CA0" w:rsidRPr="0051571F">
        <w:rPr>
          <w:rFonts w:ascii="Times New Roman" w:hAnsi="Times New Roman" w:cs="Times New Roman"/>
        </w:rPr>
        <w:t>ésilience</w:t>
      </w:r>
      <w:r w:rsidR="00122179" w:rsidRPr="0051571F">
        <w:rPr>
          <w:rFonts w:ascii="Times New Roman" w:hAnsi="Times New Roman" w:cs="Times New Roman"/>
        </w:rPr>
        <w:t xml:space="preserve">, </w:t>
      </w:r>
      <w:r w:rsidR="00262D16">
        <w:rPr>
          <w:rFonts w:ascii="Times New Roman" w:hAnsi="Times New Roman" w:cs="Times New Roman"/>
        </w:rPr>
        <w:t>t</w:t>
      </w:r>
      <w:r w:rsidR="00122179" w:rsidRPr="0051571F">
        <w:rPr>
          <w:rFonts w:ascii="Times New Roman" w:hAnsi="Times New Roman" w:cs="Times New Roman"/>
        </w:rPr>
        <w:t>ourisme</w:t>
      </w:r>
    </w:p>
    <w:p w14:paraId="223CE93B" w14:textId="77777777" w:rsidR="00113661" w:rsidRPr="0051571F" w:rsidRDefault="00113661" w:rsidP="006F0AF6">
      <w:pPr>
        <w:rPr>
          <w:rFonts w:ascii="Times New Roman" w:hAnsi="Times New Roman" w:cs="Times New Roman"/>
        </w:rPr>
      </w:pPr>
    </w:p>
    <w:p w14:paraId="15CC5108" w14:textId="77777777" w:rsidR="00113661" w:rsidRPr="0044533B" w:rsidRDefault="00113661" w:rsidP="006F0AF6">
      <w:pPr>
        <w:rPr>
          <w:rFonts w:ascii="Times New Roman" w:hAnsi="Times New Roman" w:cs="Times New Roman"/>
          <w:lang w:val="en-GB"/>
        </w:rPr>
      </w:pPr>
      <w:r w:rsidRPr="0044533B">
        <w:rPr>
          <w:rFonts w:ascii="Times New Roman" w:hAnsi="Times New Roman" w:cs="Times New Roman"/>
          <w:lang w:val="en-GB"/>
        </w:rPr>
        <w:t>Abstract</w:t>
      </w:r>
    </w:p>
    <w:p w14:paraId="5A4D5627" w14:textId="77777777" w:rsidR="00113661" w:rsidRPr="0044533B" w:rsidRDefault="00113661" w:rsidP="006F0AF6">
      <w:pPr>
        <w:jc w:val="both"/>
        <w:rPr>
          <w:rFonts w:ascii="Times New Roman" w:hAnsi="Times New Roman" w:cs="Times New Roman"/>
          <w:lang w:val="en-GB"/>
        </w:rPr>
      </w:pPr>
    </w:p>
    <w:p w14:paraId="6EAC3452" w14:textId="77777777" w:rsidR="003C67AE" w:rsidRPr="003C67AE" w:rsidRDefault="003C67AE" w:rsidP="003C6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val="fr-PF" w:eastAsia="fr-FR"/>
        </w:rPr>
      </w:pPr>
      <w:r w:rsidRPr="003C67AE">
        <w:rPr>
          <w:rFonts w:ascii="Times New Roman" w:eastAsia="Times New Roman" w:hAnsi="Times New Roman" w:cs="Times New Roman"/>
          <w:lang w:val="en" w:eastAsia="fr-FR"/>
        </w:rPr>
        <w:t>The lack of comprehensive statistical data on cultural and creative industries (CCIs) hinders cultural policy decisions on their economic and social development and constitutes an obstacle to accessing the resources and investments necessary for their sustainable development. The Covid-19 pandemic has exacerbated this situation. In this context, the South Pacific Community (SPC) conducted a comparative assessment of the impact of the health crisis on CCIs, aiming to identify post-pandemic challenges and opportunities in Fiji and French Polynesia. These two countries were chosen due to the closure of their borders, significantly affecting their tourism sectors. This study assesses the health impact on five areas of ICCs in French Polynesia, namely performing arts, festivities, visual arts, crafts, books, audiovisual, interactive media and fashion design, and attempts to measure the potential of ICCs in terms of job creation, economic growth and the fight against poverty in the fenua.</w:t>
      </w:r>
    </w:p>
    <w:p w14:paraId="4EA20404" w14:textId="77777777" w:rsidR="00113661" w:rsidRPr="0044533B" w:rsidRDefault="00113661" w:rsidP="006F0AF6">
      <w:pPr>
        <w:rPr>
          <w:rFonts w:ascii="Times New Roman" w:hAnsi="Times New Roman" w:cs="Times New Roman"/>
          <w:lang w:val="en-GB"/>
        </w:rPr>
      </w:pPr>
    </w:p>
    <w:p w14:paraId="3880F05C" w14:textId="52F14965" w:rsidR="00C10D87" w:rsidRPr="00904360" w:rsidRDefault="00C10D87" w:rsidP="006F0AF6">
      <w:pPr>
        <w:pStyle w:val="PrformatHTML"/>
        <w:jc w:val="both"/>
        <w:rPr>
          <w:rFonts w:ascii="Times New Roman" w:hAnsi="Times New Roman" w:cs="Times New Roman"/>
          <w:sz w:val="24"/>
          <w:szCs w:val="24"/>
          <w:lang w:val="en-GB"/>
        </w:rPr>
      </w:pPr>
      <w:r w:rsidRPr="0051571F">
        <w:rPr>
          <w:rStyle w:val="y2iqfc"/>
          <w:rFonts w:ascii="Times New Roman" w:hAnsi="Times New Roman" w:cs="Times New Roman"/>
          <w:sz w:val="24"/>
          <w:szCs w:val="24"/>
          <w:lang w:val="en"/>
        </w:rPr>
        <w:t xml:space="preserve">Keywords: </w:t>
      </w:r>
      <w:r w:rsidR="00262D16">
        <w:rPr>
          <w:rStyle w:val="y2iqfc"/>
          <w:rFonts w:ascii="Times New Roman" w:hAnsi="Times New Roman" w:cs="Times New Roman"/>
          <w:sz w:val="24"/>
          <w:szCs w:val="24"/>
          <w:lang w:val="en"/>
        </w:rPr>
        <w:t>c</w:t>
      </w:r>
      <w:r w:rsidRPr="0051571F">
        <w:rPr>
          <w:rStyle w:val="y2iqfc"/>
          <w:rFonts w:ascii="Times New Roman" w:hAnsi="Times New Roman" w:cs="Times New Roman"/>
          <w:sz w:val="24"/>
          <w:szCs w:val="24"/>
          <w:lang w:val="en"/>
        </w:rPr>
        <w:t xml:space="preserve">ultural and creative industries, </w:t>
      </w:r>
      <w:r w:rsidR="00262D16">
        <w:rPr>
          <w:rStyle w:val="y2iqfc"/>
          <w:rFonts w:ascii="Times New Roman" w:hAnsi="Times New Roman" w:cs="Times New Roman"/>
          <w:sz w:val="24"/>
          <w:szCs w:val="24"/>
          <w:lang w:val="en"/>
        </w:rPr>
        <w:t>c</w:t>
      </w:r>
      <w:r w:rsidRPr="0051571F">
        <w:rPr>
          <w:rStyle w:val="y2iqfc"/>
          <w:rFonts w:ascii="Times New Roman" w:hAnsi="Times New Roman" w:cs="Times New Roman"/>
          <w:sz w:val="24"/>
          <w:szCs w:val="24"/>
          <w:lang w:val="en"/>
        </w:rPr>
        <w:t xml:space="preserve">ovid-19, </w:t>
      </w:r>
      <w:r w:rsidR="00262D16">
        <w:rPr>
          <w:rStyle w:val="y2iqfc"/>
          <w:rFonts w:ascii="Times New Roman" w:hAnsi="Times New Roman" w:cs="Times New Roman"/>
          <w:sz w:val="24"/>
          <w:szCs w:val="24"/>
          <w:lang w:val="en"/>
        </w:rPr>
        <w:t>h</w:t>
      </w:r>
      <w:r w:rsidRPr="0051571F">
        <w:rPr>
          <w:rStyle w:val="y2iqfc"/>
          <w:rFonts w:ascii="Times New Roman" w:hAnsi="Times New Roman" w:cs="Times New Roman"/>
          <w:sz w:val="24"/>
          <w:szCs w:val="24"/>
          <w:lang w:val="en"/>
        </w:rPr>
        <w:t xml:space="preserve">ealth crisis, </w:t>
      </w:r>
      <w:r w:rsidR="00262D16">
        <w:rPr>
          <w:rStyle w:val="y2iqfc"/>
          <w:rFonts w:ascii="Times New Roman" w:hAnsi="Times New Roman" w:cs="Times New Roman"/>
          <w:sz w:val="24"/>
          <w:szCs w:val="24"/>
          <w:lang w:val="en"/>
        </w:rPr>
        <w:t>r</w:t>
      </w:r>
      <w:r w:rsidRPr="0051571F">
        <w:rPr>
          <w:rStyle w:val="y2iqfc"/>
          <w:rFonts w:ascii="Times New Roman" w:hAnsi="Times New Roman" w:cs="Times New Roman"/>
          <w:sz w:val="24"/>
          <w:szCs w:val="24"/>
          <w:lang w:val="en"/>
        </w:rPr>
        <w:t xml:space="preserve">esilience, </w:t>
      </w:r>
      <w:r w:rsidR="00262D16">
        <w:rPr>
          <w:rStyle w:val="y2iqfc"/>
          <w:rFonts w:ascii="Times New Roman" w:hAnsi="Times New Roman" w:cs="Times New Roman"/>
          <w:sz w:val="24"/>
          <w:szCs w:val="24"/>
          <w:lang w:val="en"/>
        </w:rPr>
        <w:t>t</w:t>
      </w:r>
      <w:r w:rsidRPr="0051571F">
        <w:rPr>
          <w:rStyle w:val="y2iqfc"/>
          <w:rFonts w:ascii="Times New Roman" w:hAnsi="Times New Roman" w:cs="Times New Roman"/>
          <w:sz w:val="24"/>
          <w:szCs w:val="24"/>
          <w:lang w:val="en"/>
        </w:rPr>
        <w:t>ourism</w:t>
      </w:r>
    </w:p>
    <w:p w14:paraId="05099289" w14:textId="612AA1FD" w:rsidR="007A18DE" w:rsidRPr="0044533B" w:rsidRDefault="007A18DE" w:rsidP="006F0AF6">
      <w:pPr>
        <w:rPr>
          <w:rFonts w:ascii="Times New Roman" w:hAnsi="Times New Roman" w:cs="Times New Roman"/>
          <w:lang w:val="en-GB"/>
        </w:rPr>
      </w:pPr>
    </w:p>
    <w:p w14:paraId="5B474099" w14:textId="3BC28934" w:rsidR="00270F2E" w:rsidRPr="00A83E87" w:rsidRDefault="00150559" w:rsidP="006F0AF6">
      <w:pPr>
        <w:rPr>
          <w:rFonts w:ascii="Times New Roman" w:hAnsi="Times New Roman" w:cs="Times New Roman"/>
        </w:rPr>
      </w:pPr>
      <w:r w:rsidRPr="00A83E87">
        <w:rPr>
          <w:rFonts w:ascii="Times New Roman" w:hAnsi="Times New Roman" w:cs="Times New Roman"/>
        </w:rPr>
        <w:t>Introduction</w:t>
      </w:r>
      <w:r w:rsidR="00A83E87">
        <w:rPr>
          <w:rFonts w:ascii="Times New Roman" w:hAnsi="Times New Roman" w:cs="Times New Roman"/>
        </w:rPr>
        <w:t> :</w:t>
      </w:r>
    </w:p>
    <w:p w14:paraId="57861B93" w14:textId="77777777" w:rsidR="00150559" w:rsidRPr="0051571F" w:rsidRDefault="00150559" w:rsidP="006F0AF6">
      <w:pPr>
        <w:rPr>
          <w:rFonts w:ascii="Times New Roman" w:hAnsi="Times New Roman" w:cs="Times New Roman"/>
        </w:rPr>
      </w:pPr>
    </w:p>
    <w:p w14:paraId="0A133C79" w14:textId="6180B81E" w:rsidR="002C7F14" w:rsidRDefault="00E845A7" w:rsidP="00273F8D">
      <w:pPr>
        <w:jc w:val="both"/>
        <w:rPr>
          <w:rStyle w:val="markedcontent"/>
          <w:rFonts w:ascii="Times New Roman" w:hAnsi="Times New Roman" w:cs="Times New Roman"/>
        </w:rPr>
      </w:pPr>
      <w:r w:rsidRPr="0051571F">
        <w:rPr>
          <w:rFonts w:ascii="Times New Roman" w:hAnsi="Times New Roman" w:cs="Times New Roman"/>
        </w:rPr>
        <w:t>La croissance économi</w:t>
      </w:r>
      <w:r w:rsidR="00A87F36">
        <w:rPr>
          <w:rFonts w:ascii="Times New Roman" w:hAnsi="Times New Roman" w:cs="Times New Roman"/>
        </w:rPr>
        <w:t>qu</w:t>
      </w:r>
      <w:r w:rsidRPr="0051571F">
        <w:rPr>
          <w:rFonts w:ascii="Times New Roman" w:hAnsi="Times New Roman" w:cs="Times New Roman"/>
        </w:rPr>
        <w:t>e polynésienne a été très impactée par la pandémie C</w:t>
      </w:r>
      <w:r w:rsidR="000A757D">
        <w:rPr>
          <w:rFonts w:ascii="Times New Roman" w:hAnsi="Times New Roman" w:cs="Times New Roman"/>
        </w:rPr>
        <w:t>ovid</w:t>
      </w:r>
      <w:r w:rsidRPr="0051571F">
        <w:rPr>
          <w:rFonts w:ascii="Times New Roman" w:hAnsi="Times New Roman" w:cs="Times New Roman"/>
        </w:rPr>
        <w:t>-19. En 2020, elle a connu une baisse de -7,6 % par rapport à 2019, où la progression était de +3 %</w:t>
      </w:r>
      <w:r w:rsidRPr="0051571F">
        <w:rPr>
          <w:rStyle w:val="Appelnotedebasdep"/>
          <w:rFonts w:ascii="Times New Roman" w:hAnsi="Times New Roman" w:cs="Times New Roman"/>
        </w:rPr>
        <w:footnoteReference w:id="2"/>
      </w:r>
      <w:r w:rsidRPr="0051571F">
        <w:rPr>
          <w:rFonts w:ascii="Times New Roman" w:hAnsi="Times New Roman" w:cs="Times New Roman"/>
        </w:rPr>
        <w:t>. La baisse s’est poursuivie en 2021 car la Polynésie fran</w:t>
      </w:r>
      <w:r w:rsidR="000D2DC6">
        <w:rPr>
          <w:rFonts w:ascii="Times New Roman" w:hAnsi="Times New Roman" w:cs="Times New Roman"/>
        </w:rPr>
        <w:t>ç</w:t>
      </w:r>
      <w:r w:rsidRPr="0051571F">
        <w:rPr>
          <w:rFonts w:ascii="Times New Roman" w:hAnsi="Times New Roman" w:cs="Times New Roman"/>
        </w:rPr>
        <w:t xml:space="preserve">aise vivait encore </w:t>
      </w:r>
      <w:r w:rsidR="006039C2">
        <w:rPr>
          <w:rFonts w:ascii="Times New Roman" w:hAnsi="Times New Roman" w:cs="Times New Roman"/>
        </w:rPr>
        <w:t>d</w:t>
      </w:r>
      <w:r w:rsidRPr="0051571F">
        <w:rPr>
          <w:rFonts w:ascii="Times New Roman" w:hAnsi="Times New Roman" w:cs="Times New Roman"/>
        </w:rPr>
        <w:t xml:space="preserve">es restrictions sanitaires et un nouveau confinement entre août et novembre, l’objectif </w:t>
      </w:r>
      <w:r w:rsidR="00831BFA">
        <w:rPr>
          <w:rFonts w:ascii="Times New Roman" w:hAnsi="Times New Roman" w:cs="Times New Roman"/>
        </w:rPr>
        <w:t xml:space="preserve">de ces mesures </w:t>
      </w:r>
      <w:r w:rsidRPr="0051571F">
        <w:rPr>
          <w:rFonts w:ascii="Times New Roman" w:hAnsi="Times New Roman" w:cs="Times New Roman"/>
        </w:rPr>
        <w:t xml:space="preserve">étant de limiter la propagation du virus sur le territoire, à Tahiti et à Moorea </w:t>
      </w:r>
      <w:r w:rsidR="002F712B">
        <w:rPr>
          <w:rFonts w:ascii="Times New Roman" w:hAnsi="Times New Roman" w:cs="Times New Roman"/>
        </w:rPr>
        <w:t>tout particulièrement</w:t>
      </w:r>
      <w:r w:rsidRPr="0051571F">
        <w:rPr>
          <w:rFonts w:ascii="Times New Roman" w:hAnsi="Times New Roman" w:cs="Times New Roman"/>
        </w:rPr>
        <w:t xml:space="preserve">. La gestion stratégique de la pandémie a été partagée entre le Pays, au travers de la cellule </w:t>
      </w:r>
      <w:r w:rsidRPr="0051571F">
        <w:rPr>
          <w:rFonts w:ascii="Times New Roman" w:hAnsi="Times New Roman" w:cs="Times New Roman"/>
        </w:rPr>
        <w:lastRenderedPageBreak/>
        <w:t xml:space="preserve">interministérielle de crise et le centre de crise sanitaire </w:t>
      </w:r>
      <w:r w:rsidR="00AF3E94">
        <w:rPr>
          <w:rFonts w:ascii="Times New Roman" w:hAnsi="Times New Roman" w:cs="Times New Roman"/>
        </w:rPr>
        <w:t>et</w:t>
      </w:r>
      <w:r w:rsidRPr="0051571F">
        <w:rPr>
          <w:rFonts w:ascii="Times New Roman" w:hAnsi="Times New Roman" w:cs="Times New Roman"/>
        </w:rPr>
        <w:t xml:space="preserve"> l’État</w:t>
      </w:r>
      <w:r w:rsidR="00BD0AE3">
        <w:rPr>
          <w:rFonts w:ascii="Times New Roman" w:hAnsi="Times New Roman" w:cs="Times New Roman"/>
        </w:rPr>
        <w:t>,</w:t>
      </w:r>
      <w:r w:rsidRPr="0051571F">
        <w:rPr>
          <w:rFonts w:ascii="Times New Roman" w:hAnsi="Times New Roman" w:cs="Times New Roman"/>
        </w:rPr>
        <w:t xml:space="preserve"> </w:t>
      </w:r>
      <w:r w:rsidR="00C911D2">
        <w:rPr>
          <w:rFonts w:ascii="Times New Roman" w:hAnsi="Times New Roman" w:cs="Times New Roman"/>
        </w:rPr>
        <w:t xml:space="preserve">par le </w:t>
      </w:r>
      <w:r w:rsidRPr="0051571F">
        <w:rPr>
          <w:rFonts w:ascii="Times New Roman" w:hAnsi="Times New Roman" w:cs="Times New Roman"/>
        </w:rPr>
        <w:t>biais d</w:t>
      </w:r>
      <w:r w:rsidR="00755E80">
        <w:rPr>
          <w:rFonts w:ascii="Times New Roman" w:hAnsi="Times New Roman" w:cs="Times New Roman"/>
        </w:rPr>
        <w:t>u</w:t>
      </w:r>
      <w:r w:rsidR="00755E80" w:rsidRPr="0051571F">
        <w:rPr>
          <w:rFonts w:ascii="Times New Roman" w:hAnsi="Times New Roman" w:cs="Times New Roman"/>
        </w:rPr>
        <w:t xml:space="preserve"> Haut-commissariat</w:t>
      </w:r>
      <w:r w:rsidR="00755E80">
        <w:rPr>
          <w:rFonts w:ascii="Times New Roman" w:hAnsi="Times New Roman" w:cs="Times New Roman"/>
        </w:rPr>
        <w:t xml:space="preserve">, </w:t>
      </w:r>
      <w:r w:rsidR="00D05898">
        <w:rPr>
          <w:rFonts w:ascii="Times New Roman" w:hAnsi="Times New Roman" w:cs="Times New Roman"/>
        </w:rPr>
        <w:t xml:space="preserve">de </w:t>
      </w:r>
      <w:r w:rsidRPr="0051571F">
        <w:rPr>
          <w:rFonts w:ascii="Times New Roman" w:hAnsi="Times New Roman" w:cs="Times New Roman"/>
        </w:rPr>
        <w:t xml:space="preserve">l’état-major et l’agence de santé. </w:t>
      </w:r>
      <w:r w:rsidR="000C3607">
        <w:rPr>
          <w:rFonts w:ascii="Times New Roman" w:hAnsi="Times New Roman" w:cs="Times New Roman"/>
        </w:rPr>
        <w:t>L</w:t>
      </w:r>
      <w:r w:rsidR="00044B01">
        <w:rPr>
          <w:rFonts w:ascii="Times New Roman" w:hAnsi="Times New Roman" w:cs="Times New Roman"/>
        </w:rPr>
        <w:t>es</w:t>
      </w:r>
      <w:r w:rsidRPr="0051571F">
        <w:rPr>
          <w:rFonts w:ascii="Times New Roman" w:hAnsi="Times New Roman" w:cs="Times New Roman"/>
        </w:rPr>
        <w:t xml:space="preserve"> mesures</w:t>
      </w:r>
      <w:r w:rsidR="00044B01">
        <w:rPr>
          <w:rFonts w:ascii="Times New Roman" w:hAnsi="Times New Roman" w:cs="Times New Roman"/>
        </w:rPr>
        <w:t xml:space="preserve"> </w:t>
      </w:r>
      <w:r w:rsidR="00506C74">
        <w:rPr>
          <w:rFonts w:ascii="Times New Roman" w:hAnsi="Times New Roman" w:cs="Times New Roman"/>
        </w:rPr>
        <w:t>ont</w:t>
      </w:r>
      <w:r w:rsidR="00F92320">
        <w:rPr>
          <w:rFonts w:ascii="Times New Roman" w:hAnsi="Times New Roman" w:cs="Times New Roman"/>
        </w:rPr>
        <w:t xml:space="preserve"> </w:t>
      </w:r>
      <w:r w:rsidRPr="0051571F">
        <w:rPr>
          <w:rFonts w:ascii="Times New Roman" w:hAnsi="Times New Roman" w:cs="Times New Roman"/>
        </w:rPr>
        <w:t>permis de lutter contre la circulation du virus</w:t>
      </w:r>
      <w:r w:rsidR="00506C74">
        <w:rPr>
          <w:rFonts w:ascii="Times New Roman" w:hAnsi="Times New Roman" w:cs="Times New Roman"/>
        </w:rPr>
        <w:t>, mais</w:t>
      </w:r>
      <w:r w:rsidR="003F04BF">
        <w:rPr>
          <w:rFonts w:ascii="Times New Roman" w:hAnsi="Times New Roman" w:cs="Times New Roman"/>
        </w:rPr>
        <w:t xml:space="preserve"> </w:t>
      </w:r>
      <w:r w:rsidR="00506C74">
        <w:rPr>
          <w:rFonts w:ascii="Times New Roman" w:hAnsi="Times New Roman" w:cs="Times New Roman"/>
        </w:rPr>
        <w:t>ont néanmoins</w:t>
      </w:r>
      <w:r w:rsidRPr="0051571F">
        <w:rPr>
          <w:rFonts w:ascii="Times New Roman" w:hAnsi="Times New Roman" w:cs="Times New Roman"/>
        </w:rPr>
        <w:t xml:space="preserve"> impacté l’économie locale</w:t>
      </w:r>
      <w:r w:rsidR="000D2DC6">
        <w:rPr>
          <w:rFonts w:ascii="Times New Roman" w:hAnsi="Times New Roman" w:cs="Times New Roman"/>
        </w:rPr>
        <w:t>.</w:t>
      </w:r>
      <w:r w:rsidRPr="0051571F">
        <w:rPr>
          <w:rStyle w:val="Appelnotedebasdep"/>
          <w:rFonts w:ascii="Times New Roman" w:hAnsi="Times New Roman" w:cs="Times New Roman"/>
        </w:rPr>
        <w:footnoteReference w:id="3"/>
      </w:r>
      <w:r w:rsidRPr="0051571F">
        <w:rPr>
          <w:rFonts w:ascii="Times New Roman" w:hAnsi="Times New Roman" w:cs="Times New Roman"/>
        </w:rPr>
        <w:t xml:space="preserve"> </w:t>
      </w:r>
      <w:r w:rsidR="006F102E">
        <w:rPr>
          <w:rFonts w:ascii="Times New Roman" w:hAnsi="Times New Roman" w:cs="Times New Roman"/>
        </w:rPr>
        <w:t>En réponse à cette</w:t>
      </w:r>
      <w:r w:rsidRPr="0051571F">
        <w:rPr>
          <w:rFonts w:ascii="Times New Roman" w:hAnsi="Times New Roman" w:cs="Times New Roman"/>
        </w:rPr>
        <w:t xml:space="preserve"> situation, le gouvernement polynésien </w:t>
      </w:r>
      <w:r w:rsidR="006F102E">
        <w:rPr>
          <w:rFonts w:ascii="Times New Roman" w:hAnsi="Times New Roman" w:cs="Times New Roman"/>
        </w:rPr>
        <w:t>a instauré un</w:t>
      </w:r>
      <w:r w:rsidRPr="0051571F">
        <w:rPr>
          <w:rFonts w:ascii="Times New Roman" w:hAnsi="Times New Roman" w:cs="Times New Roman"/>
        </w:rPr>
        <w:t xml:space="preserve"> </w:t>
      </w:r>
      <w:r w:rsidRPr="0051571F">
        <w:rPr>
          <w:rStyle w:val="markedcontent"/>
          <w:rFonts w:ascii="Times New Roman" w:hAnsi="Times New Roman" w:cs="Times New Roman"/>
          <w:i/>
          <w:iCs/>
        </w:rPr>
        <w:t>« plan de sauvegarde »</w:t>
      </w:r>
      <w:r w:rsidRPr="0051571F">
        <w:rPr>
          <w:rStyle w:val="Appelnotedebasdep"/>
          <w:rFonts w:ascii="Times New Roman" w:hAnsi="Times New Roman" w:cs="Times New Roman"/>
          <w:i/>
          <w:iCs/>
        </w:rPr>
        <w:footnoteReference w:id="4"/>
      </w:r>
      <w:r w:rsidRPr="0051571F">
        <w:rPr>
          <w:rStyle w:val="markedcontent"/>
          <w:rFonts w:ascii="Times New Roman" w:hAnsi="Times New Roman" w:cs="Times New Roman"/>
        </w:rPr>
        <w:t xml:space="preserve"> </w:t>
      </w:r>
      <w:r w:rsidRPr="0051571F">
        <w:rPr>
          <w:rFonts w:ascii="Times New Roman" w:hAnsi="Times New Roman" w:cs="Times New Roman"/>
        </w:rPr>
        <w:t>afin de redynamiser la croissance économique</w:t>
      </w:r>
      <w:r w:rsidRPr="0051571F">
        <w:rPr>
          <w:rStyle w:val="Appelnotedebasdep"/>
          <w:rFonts w:ascii="Times New Roman" w:hAnsi="Times New Roman" w:cs="Times New Roman"/>
        </w:rPr>
        <w:footnoteReference w:id="5"/>
      </w:r>
      <w:r w:rsidR="000E2F6C">
        <w:rPr>
          <w:rFonts w:ascii="Times New Roman" w:hAnsi="Times New Roman" w:cs="Times New Roman"/>
        </w:rPr>
        <w:t>,</w:t>
      </w:r>
      <w:r w:rsidRPr="0051571F">
        <w:rPr>
          <w:rFonts w:ascii="Times New Roman" w:hAnsi="Times New Roman" w:cs="Times New Roman"/>
        </w:rPr>
        <w:t xml:space="preserve"> </w:t>
      </w:r>
      <w:r w:rsidR="000D2DC6">
        <w:rPr>
          <w:rFonts w:ascii="Times New Roman" w:hAnsi="Times New Roman" w:cs="Times New Roman"/>
        </w:rPr>
        <w:t xml:space="preserve">de </w:t>
      </w:r>
      <w:r w:rsidRPr="0051571F">
        <w:rPr>
          <w:rStyle w:val="markedcontent"/>
          <w:rFonts w:ascii="Times New Roman" w:hAnsi="Times New Roman" w:cs="Times New Roman"/>
        </w:rPr>
        <w:t>préserver les emplois</w:t>
      </w:r>
      <w:r w:rsidRPr="0051571F">
        <w:rPr>
          <w:rFonts w:ascii="Times New Roman" w:hAnsi="Times New Roman" w:cs="Times New Roman"/>
        </w:rPr>
        <w:t xml:space="preserve"> </w:t>
      </w:r>
      <w:r w:rsidR="00F25864">
        <w:rPr>
          <w:rStyle w:val="markedcontent"/>
          <w:rFonts w:ascii="Times New Roman" w:hAnsi="Times New Roman" w:cs="Times New Roman"/>
        </w:rPr>
        <w:t>ainsi que</w:t>
      </w:r>
      <w:r w:rsidRPr="0051571F">
        <w:rPr>
          <w:rStyle w:val="markedcontent"/>
          <w:rFonts w:ascii="Times New Roman" w:hAnsi="Times New Roman" w:cs="Times New Roman"/>
        </w:rPr>
        <w:t xml:space="preserve"> la trésorerie des entreprises.</w:t>
      </w:r>
      <w:r w:rsidR="00C84D3D">
        <w:rPr>
          <w:rStyle w:val="markedcontent"/>
          <w:rFonts w:ascii="Times New Roman" w:hAnsi="Times New Roman" w:cs="Times New Roman"/>
        </w:rPr>
        <w:t xml:space="preserve"> S</w:t>
      </w:r>
      <w:r w:rsidRPr="0051571F">
        <w:rPr>
          <w:rFonts w:ascii="Times New Roman" w:hAnsi="Times New Roman" w:cs="Times New Roman"/>
        </w:rPr>
        <w:t>i la crise sanitaire a ralenti l’économie</w:t>
      </w:r>
      <w:r w:rsidR="00094628">
        <w:rPr>
          <w:rFonts w:ascii="Times New Roman" w:hAnsi="Times New Roman" w:cs="Times New Roman"/>
        </w:rPr>
        <w:t xml:space="preserve"> locale</w:t>
      </w:r>
      <w:r w:rsidRPr="0051571F">
        <w:rPr>
          <w:rFonts w:ascii="Times New Roman" w:hAnsi="Times New Roman" w:cs="Times New Roman"/>
        </w:rPr>
        <w:t>, c</w:t>
      </w:r>
      <w:r w:rsidRPr="0051571F">
        <w:rPr>
          <w:rStyle w:val="markedcontent"/>
          <w:rFonts w:ascii="Times New Roman" w:hAnsi="Times New Roman" w:cs="Times New Roman"/>
        </w:rPr>
        <w:t>ertaines activités ont été plus durement touchées par rapport à d’autres</w:t>
      </w:r>
      <w:r w:rsidR="00466632">
        <w:rPr>
          <w:rStyle w:val="markedcontent"/>
          <w:rFonts w:ascii="Times New Roman" w:hAnsi="Times New Roman" w:cs="Times New Roman"/>
        </w:rPr>
        <w:t xml:space="preserve"> comme le</w:t>
      </w:r>
      <w:r w:rsidRPr="0051571F">
        <w:rPr>
          <w:rStyle w:val="markedcontent"/>
          <w:rFonts w:ascii="Times New Roman" w:hAnsi="Times New Roman" w:cs="Times New Roman"/>
        </w:rPr>
        <w:t>s industries culturelles et créatives</w:t>
      </w:r>
      <w:r w:rsidR="003968D9">
        <w:rPr>
          <w:rStyle w:val="markedcontent"/>
          <w:rFonts w:ascii="Times New Roman" w:hAnsi="Times New Roman" w:cs="Times New Roman"/>
        </w:rPr>
        <w:t xml:space="preserve"> (ICC)</w:t>
      </w:r>
      <w:r w:rsidRPr="0051571F">
        <w:rPr>
          <w:rStyle w:val="markedcontent"/>
          <w:rFonts w:ascii="Times New Roman" w:hAnsi="Times New Roman" w:cs="Times New Roman"/>
        </w:rPr>
        <w:t>, les artistes étant parmi les premiers professionnels à subir les contraintes sanitaires par la fermeture des salles de spectacle et l’application des mesures de distanciation.</w:t>
      </w:r>
      <w:r w:rsidRPr="0051571F">
        <w:rPr>
          <w:rStyle w:val="Appelnotedebasdep"/>
          <w:rFonts w:ascii="Times New Roman" w:hAnsi="Times New Roman" w:cs="Times New Roman"/>
        </w:rPr>
        <w:footnoteReference w:id="6"/>
      </w:r>
    </w:p>
    <w:p w14:paraId="66CC0740" w14:textId="698EFCD0" w:rsidR="00432675" w:rsidRPr="00A53051" w:rsidRDefault="00E845A7" w:rsidP="00273F8D">
      <w:pPr>
        <w:jc w:val="both"/>
        <w:rPr>
          <w:rStyle w:val="markedcontent"/>
          <w:rFonts w:ascii="Times New Roman" w:hAnsi="Times New Roman" w:cs="Times New Roman"/>
        </w:rPr>
      </w:pPr>
      <w:r w:rsidRPr="0051571F">
        <w:rPr>
          <w:rStyle w:val="markedcontent"/>
          <w:rFonts w:ascii="Times New Roman" w:hAnsi="Times New Roman" w:cs="Times New Roman"/>
        </w:rPr>
        <w:t>Devant cette situation,</w:t>
      </w:r>
      <w:r w:rsidR="00A51701">
        <w:rPr>
          <w:rStyle w:val="markedcontent"/>
          <w:rFonts w:ascii="Times New Roman" w:hAnsi="Times New Roman" w:cs="Times New Roman"/>
        </w:rPr>
        <w:t xml:space="preserve"> </w:t>
      </w:r>
      <w:r w:rsidR="00A51701" w:rsidRPr="00C2086E">
        <w:rPr>
          <w:rStyle w:val="extn-css-0"/>
          <w:rFonts w:ascii="Times New Roman" w:hAnsi="Times New Roman" w:cs="Times New Roman"/>
        </w:rPr>
        <w:t xml:space="preserve">le ministère de la Culture a </w:t>
      </w:r>
      <w:r w:rsidR="00DF23C5" w:rsidRPr="00C2086E">
        <w:rPr>
          <w:rStyle w:val="extn-css-1tmeul0"/>
          <w:rFonts w:ascii="Times New Roman" w:hAnsi="Times New Roman" w:cs="Times New Roman"/>
        </w:rPr>
        <w:t>créé</w:t>
      </w:r>
      <w:r w:rsidR="00A51701" w:rsidRPr="00C2086E">
        <w:rPr>
          <w:rStyle w:val="extn-css-1tmeul0"/>
          <w:rFonts w:ascii="Times New Roman" w:hAnsi="Times New Roman" w:cs="Times New Roman"/>
        </w:rPr>
        <w:t xml:space="preserve"> </w:t>
      </w:r>
      <w:r w:rsidR="00A51701" w:rsidRPr="00C2086E">
        <w:rPr>
          <w:rStyle w:val="extn-css-0"/>
          <w:rFonts w:ascii="Times New Roman" w:hAnsi="Times New Roman" w:cs="Times New Roman"/>
        </w:rPr>
        <w:t xml:space="preserve">un programme </w:t>
      </w:r>
      <w:r w:rsidR="00A51701" w:rsidRPr="00C2086E">
        <w:rPr>
          <w:rStyle w:val="extn-css-1tmeul0"/>
          <w:rFonts w:ascii="Times New Roman" w:hAnsi="Times New Roman" w:cs="Times New Roman"/>
        </w:rPr>
        <w:t xml:space="preserve">dans </w:t>
      </w:r>
      <w:r w:rsidR="00A51701" w:rsidRPr="00C2086E">
        <w:rPr>
          <w:rStyle w:val="extn-css-10o52y0"/>
          <w:rFonts w:ascii="Times New Roman" w:hAnsi="Times New Roman" w:cs="Times New Roman"/>
        </w:rPr>
        <w:t xml:space="preserve">le </w:t>
      </w:r>
      <w:r w:rsidR="00A51701" w:rsidRPr="00C2086E">
        <w:rPr>
          <w:rStyle w:val="extn-css-h5d7i9"/>
          <w:rFonts w:ascii="Times New Roman" w:hAnsi="Times New Roman" w:cs="Times New Roman"/>
        </w:rPr>
        <w:t xml:space="preserve">but d'atténuer les effets </w:t>
      </w:r>
      <w:r w:rsidR="00A51701" w:rsidRPr="00C2086E">
        <w:rPr>
          <w:rStyle w:val="extn-css-lq4jk2"/>
          <w:rFonts w:ascii="Times New Roman" w:hAnsi="Times New Roman" w:cs="Times New Roman"/>
        </w:rPr>
        <w:t xml:space="preserve">de la crise sanitaire sur </w:t>
      </w:r>
      <w:r w:rsidR="00C2086E" w:rsidRPr="00C2086E">
        <w:rPr>
          <w:rStyle w:val="extn-css-h5d7i9"/>
          <w:rFonts w:ascii="Times New Roman" w:hAnsi="Times New Roman" w:cs="Times New Roman"/>
        </w:rPr>
        <w:t>le monde</w:t>
      </w:r>
      <w:r w:rsidR="00A51701" w:rsidRPr="00C2086E">
        <w:rPr>
          <w:rStyle w:val="extn-css-h5d7i9"/>
          <w:rFonts w:ascii="Times New Roman" w:hAnsi="Times New Roman" w:cs="Times New Roman"/>
        </w:rPr>
        <w:t xml:space="preserve"> culturel, </w:t>
      </w:r>
      <w:r w:rsidR="00A51701" w:rsidRPr="00C2086E">
        <w:rPr>
          <w:rStyle w:val="extn-css-0"/>
          <w:rFonts w:ascii="Times New Roman" w:hAnsi="Times New Roman" w:cs="Times New Roman"/>
        </w:rPr>
        <w:t xml:space="preserve">ses </w:t>
      </w:r>
      <w:r w:rsidR="00A51701" w:rsidRPr="00C2086E">
        <w:rPr>
          <w:rStyle w:val="extn-css-1tmeul0"/>
          <w:rFonts w:ascii="Times New Roman" w:hAnsi="Times New Roman" w:cs="Times New Roman"/>
        </w:rPr>
        <w:t xml:space="preserve">travailleurs, </w:t>
      </w:r>
      <w:r w:rsidR="00A51701" w:rsidRPr="00C2086E">
        <w:rPr>
          <w:rStyle w:val="extn-css-0"/>
          <w:rFonts w:ascii="Times New Roman" w:hAnsi="Times New Roman" w:cs="Times New Roman"/>
        </w:rPr>
        <w:t xml:space="preserve">son </w:t>
      </w:r>
      <w:r w:rsidR="00C2086E" w:rsidRPr="00C2086E">
        <w:rPr>
          <w:rStyle w:val="extn-css-1tmeul0"/>
          <w:rFonts w:ascii="Times New Roman" w:hAnsi="Times New Roman" w:cs="Times New Roman"/>
        </w:rPr>
        <w:t>patrimoine</w:t>
      </w:r>
      <w:r w:rsidR="00A51701" w:rsidRPr="00C2086E">
        <w:rPr>
          <w:rStyle w:val="extn-css-1tmeul0"/>
          <w:rFonts w:ascii="Times New Roman" w:hAnsi="Times New Roman" w:cs="Times New Roman"/>
        </w:rPr>
        <w:t xml:space="preserve"> </w:t>
      </w:r>
      <w:r w:rsidR="00A51701" w:rsidRPr="00C2086E">
        <w:rPr>
          <w:rStyle w:val="extn-css-0"/>
          <w:rFonts w:ascii="Times New Roman" w:hAnsi="Times New Roman" w:cs="Times New Roman"/>
        </w:rPr>
        <w:t xml:space="preserve">et ses </w:t>
      </w:r>
      <w:r w:rsidR="00A51701" w:rsidRPr="00C2086E">
        <w:rPr>
          <w:rStyle w:val="extn-css-1tmeul0"/>
          <w:rFonts w:ascii="Times New Roman" w:hAnsi="Times New Roman" w:cs="Times New Roman"/>
        </w:rPr>
        <w:t>usagers</w:t>
      </w:r>
      <w:r w:rsidR="00C2086E" w:rsidRPr="00C2086E">
        <w:rPr>
          <w:rStyle w:val="extn-css-1tmeul0"/>
          <w:rFonts w:ascii="Times New Roman" w:hAnsi="Times New Roman" w:cs="Times New Roman"/>
        </w:rPr>
        <w:t>.</w:t>
      </w:r>
      <w:r w:rsidRPr="0051571F">
        <w:rPr>
          <w:rStyle w:val="Appelnotedebasdep"/>
          <w:rFonts w:ascii="Times New Roman" w:hAnsi="Times New Roman" w:cs="Times New Roman"/>
        </w:rPr>
        <w:footnoteReference w:id="7"/>
      </w:r>
      <w:r w:rsidRPr="0051571F">
        <w:rPr>
          <w:rFonts w:ascii="Times New Roman" w:hAnsi="Times New Roman" w:cs="Times New Roman"/>
        </w:rPr>
        <w:t xml:space="preserve">Pour ce faire, la création artistique et culturelle, la préservation du patrimoine, l’administration de la culture et son enseignement ont fait l’objet d’une attention particulière de la part du </w:t>
      </w:r>
      <w:r w:rsidR="00B46887">
        <w:rPr>
          <w:rFonts w:ascii="Times New Roman" w:hAnsi="Times New Roman" w:cs="Times New Roman"/>
        </w:rPr>
        <w:t>m</w:t>
      </w:r>
      <w:r w:rsidRPr="0051571F">
        <w:rPr>
          <w:rFonts w:ascii="Times New Roman" w:hAnsi="Times New Roman" w:cs="Times New Roman"/>
        </w:rPr>
        <w:t xml:space="preserve">inistère car ces derniers domaines concernent et regroupent de nombreux acteurs. </w:t>
      </w:r>
      <w:r w:rsidR="0043582F">
        <w:rPr>
          <w:rFonts w:ascii="Times New Roman" w:hAnsi="Times New Roman" w:cs="Times New Roman"/>
        </w:rPr>
        <w:t xml:space="preserve">Le programme en question comprenait, entre autres choses, </w:t>
      </w:r>
      <w:r w:rsidR="000C261D">
        <w:rPr>
          <w:rStyle w:val="markedcontent"/>
          <w:rFonts w:ascii="Times New Roman" w:hAnsi="Times New Roman" w:cs="Times New Roman"/>
        </w:rPr>
        <w:t>la</w:t>
      </w:r>
      <w:r w:rsidRPr="0051571F">
        <w:rPr>
          <w:rStyle w:val="markedcontent"/>
          <w:rFonts w:ascii="Times New Roman" w:hAnsi="Times New Roman" w:cs="Times New Roman"/>
        </w:rPr>
        <w:t xml:space="preserve"> création d’un soutien</w:t>
      </w:r>
      <w:r w:rsidRPr="0051571F">
        <w:rPr>
          <w:rFonts w:ascii="Times New Roman" w:hAnsi="Times New Roman" w:cs="Times New Roman"/>
        </w:rPr>
        <w:t xml:space="preserve"> </w:t>
      </w:r>
      <w:r w:rsidRPr="0051571F">
        <w:rPr>
          <w:rStyle w:val="markedcontent"/>
          <w:rFonts w:ascii="Times New Roman" w:hAnsi="Times New Roman" w:cs="Times New Roman"/>
        </w:rPr>
        <w:t>financier</w:t>
      </w:r>
      <w:r w:rsidRPr="0051571F">
        <w:rPr>
          <w:rStyle w:val="Appelnotedebasdep"/>
          <w:rFonts w:ascii="Times New Roman" w:hAnsi="Times New Roman" w:cs="Times New Roman"/>
        </w:rPr>
        <w:footnoteReference w:id="8"/>
      </w:r>
      <w:r w:rsidRPr="0051571F">
        <w:rPr>
          <w:rStyle w:val="markedcontent"/>
          <w:rFonts w:ascii="Times New Roman" w:hAnsi="Times New Roman" w:cs="Times New Roman"/>
        </w:rPr>
        <w:t xml:space="preserve">à la création cinématographique et audiovisuelle (SCCA) en faveur </w:t>
      </w:r>
      <w:r w:rsidRPr="0051571F">
        <w:rPr>
          <w:rFonts w:ascii="Times New Roman" w:hAnsi="Times New Roman" w:cs="Times New Roman"/>
        </w:rPr>
        <w:t>des professionnels de l’audiovisuel selon une classification des créations</w:t>
      </w:r>
      <w:r w:rsidR="00B45BD8">
        <w:rPr>
          <w:rFonts w:ascii="Times New Roman" w:hAnsi="Times New Roman" w:cs="Times New Roman"/>
        </w:rPr>
        <w:t>,</w:t>
      </w:r>
      <w:r w:rsidRPr="0051571F">
        <w:rPr>
          <w:rStyle w:val="Appelnotedebasdep"/>
          <w:rFonts w:ascii="Times New Roman" w:hAnsi="Times New Roman" w:cs="Times New Roman"/>
        </w:rPr>
        <w:footnoteReference w:id="9"/>
      </w:r>
      <w:r w:rsidR="000C261D">
        <w:rPr>
          <w:rFonts w:ascii="Times New Roman" w:hAnsi="Times New Roman" w:cs="Times New Roman"/>
        </w:rPr>
        <w:t xml:space="preserve"> une </w:t>
      </w:r>
      <w:r w:rsidRPr="0051571F">
        <w:rPr>
          <w:rFonts w:ascii="Times New Roman" w:hAnsi="Times New Roman" w:cs="Times New Roman"/>
        </w:rPr>
        <w:t>aide à la création numérique</w:t>
      </w:r>
      <w:r w:rsidRPr="0051571F">
        <w:rPr>
          <w:rStyle w:val="Appelnotedebasdep"/>
          <w:rFonts w:ascii="Times New Roman" w:hAnsi="Times New Roman" w:cs="Times New Roman"/>
        </w:rPr>
        <w:footnoteReference w:id="10"/>
      </w:r>
      <w:r w:rsidRPr="0051571F">
        <w:rPr>
          <w:rFonts w:ascii="Times New Roman" w:hAnsi="Times New Roman" w:cs="Times New Roman"/>
        </w:rPr>
        <w:t>ou encore</w:t>
      </w:r>
      <w:r w:rsidR="00E44934" w:rsidRPr="0051571F">
        <w:rPr>
          <w:rFonts w:ascii="Times New Roman" w:hAnsi="Times New Roman" w:cs="Times New Roman"/>
        </w:rPr>
        <w:t xml:space="preserve"> l</w:t>
      </w:r>
      <w:r w:rsidRPr="0051571F">
        <w:rPr>
          <w:rFonts w:ascii="Times New Roman" w:hAnsi="Times New Roman" w:cs="Times New Roman"/>
        </w:rPr>
        <w:t>a mise en œuvre d’une carte professionnelle destinée aux artisans</w:t>
      </w:r>
      <w:r w:rsidR="00F537E3">
        <w:rPr>
          <w:rFonts w:ascii="Times New Roman" w:hAnsi="Times New Roman" w:cs="Times New Roman"/>
        </w:rPr>
        <w:t xml:space="preserve"> (</w:t>
      </w:r>
      <w:r w:rsidRPr="0051571F">
        <w:rPr>
          <w:rFonts w:ascii="Times New Roman" w:hAnsi="Times New Roman" w:cs="Times New Roman"/>
        </w:rPr>
        <w:t>personnes physiques, dirigeants sociaux de personnes morales ou ayant obtenu la qualité d’artisan traditionnel</w:t>
      </w:r>
      <w:r w:rsidR="00331BDA">
        <w:rPr>
          <w:rFonts w:ascii="Times New Roman" w:hAnsi="Times New Roman" w:cs="Times New Roman"/>
        </w:rPr>
        <w:t>.</w:t>
      </w:r>
      <w:r w:rsidR="00F85662">
        <w:rPr>
          <w:rFonts w:ascii="Times New Roman" w:hAnsi="Times New Roman" w:cs="Times New Roman"/>
        </w:rPr>
        <w:t>)</w:t>
      </w:r>
      <w:r w:rsidRPr="0051571F">
        <w:rPr>
          <w:rStyle w:val="Appelnotedebasdep"/>
          <w:rFonts w:ascii="Times New Roman" w:hAnsi="Times New Roman" w:cs="Times New Roman"/>
        </w:rPr>
        <w:footnoteReference w:id="11"/>
      </w:r>
      <w:r w:rsidRPr="0051571F">
        <w:rPr>
          <w:rFonts w:ascii="Times New Roman" w:hAnsi="Times New Roman" w:cs="Times New Roman"/>
          <w:i/>
          <w:iCs/>
        </w:rPr>
        <w:t xml:space="preserve"> </w:t>
      </w:r>
    </w:p>
    <w:p w14:paraId="5E49DBBE" w14:textId="03AF648D" w:rsidR="00E845A7" w:rsidRPr="0051571F" w:rsidRDefault="00E845A7" w:rsidP="008C22F5">
      <w:pPr>
        <w:pStyle w:val="NormalWeb"/>
        <w:spacing w:before="0" w:beforeAutospacing="0" w:after="0" w:afterAutospacing="0"/>
        <w:jc w:val="both"/>
      </w:pPr>
      <w:r w:rsidRPr="00CB4E7F">
        <w:t xml:space="preserve">Sur le </w:t>
      </w:r>
      <w:r w:rsidRPr="00CB4E7F">
        <w:rPr>
          <w:i/>
          <w:iCs/>
        </w:rPr>
        <w:t>fenua</w:t>
      </w:r>
      <w:r w:rsidRPr="00CB4E7F">
        <w:t>, les acteurs des ICC sont classés principalement en deux catégories</w:t>
      </w:r>
      <w:r w:rsidR="00EF7B83">
        <w:t>. Ils se regroupent soit</w:t>
      </w:r>
      <w:r w:rsidR="00CB4E7F" w:rsidRPr="00CB4E7F">
        <w:t xml:space="preserve"> e</w:t>
      </w:r>
      <w:r w:rsidRPr="00CB4E7F">
        <w:t xml:space="preserve">n association, comité ou </w:t>
      </w:r>
      <w:r w:rsidR="00EF7B83">
        <w:t xml:space="preserve">encore en </w:t>
      </w:r>
      <w:r w:rsidRPr="00CB4E7F">
        <w:t>fédération</w:t>
      </w:r>
      <w:r w:rsidR="00251233">
        <w:t xml:space="preserve">, </w:t>
      </w:r>
      <w:r w:rsidR="00EF7B83">
        <w:t>soit sont d</w:t>
      </w:r>
      <w:r w:rsidRPr="00CB4E7F">
        <w:t xml:space="preserve">es travailleurs indépendants patentés. </w:t>
      </w:r>
      <w:r w:rsidR="008D1345">
        <w:t xml:space="preserve">Dans le premier cas, la </w:t>
      </w:r>
      <w:r w:rsidR="00065901">
        <w:t>forme</w:t>
      </w:r>
      <w:r w:rsidR="008D1345">
        <w:t xml:space="preserve"> associative facilite l'obtention de subventions gouvernementales, tandis que dans le second, la patente ouvre la voie à divers dispositifs gouvernementaux destinés à soutenir l'activité, tels que l'obtention d'une carte professionnelle (pour les artistes ou artisans) ou encore des aides financières pour les secteurs du livre et de l'audiovisuel.</w:t>
      </w:r>
      <w:r w:rsidR="00C01DB0">
        <w:t xml:space="preserve"> L’organisation des ICC s’articulent tout d’abord autour des </w:t>
      </w:r>
      <w:r w:rsidRPr="0051571F">
        <w:t>textes r</w:t>
      </w:r>
      <w:r w:rsidR="000D2DC6">
        <w:t>é</w:t>
      </w:r>
      <w:r w:rsidRPr="0051571F">
        <w:t>glementaires</w:t>
      </w:r>
      <w:r w:rsidR="00C01DB0">
        <w:t>, lesquels d</w:t>
      </w:r>
      <w:r w:rsidRPr="0051571F">
        <w:t xml:space="preserve">éfinissent le cadre légal de leur activité sur le </w:t>
      </w:r>
      <w:r w:rsidRPr="0051571F">
        <w:rPr>
          <w:i/>
          <w:iCs/>
        </w:rPr>
        <w:t>fenua</w:t>
      </w:r>
      <w:r w:rsidRPr="0051571F">
        <w:t xml:space="preserve"> et à l’extérieur du territoire (forme juridique, subvention, droits, obligations, statut, etc.)</w:t>
      </w:r>
      <w:r w:rsidR="00416BCB">
        <w:t>,</w:t>
      </w:r>
      <w:r w:rsidR="00C01DB0">
        <w:t xml:space="preserve"> puis, d</w:t>
      </w:r>
      <w:r w:rsidRPr="0051571F">
        <w:t>es logiques de priorités (besoins primaires et alimentaires)</w:t>
      </w:r>
      <w:r w:rsidR="00416BCB">
        <w:t xml:space="preserve"> </w:t>
      </w:r>
      <w:r w:rsidR="00C01DB0">
        <w:t>et enfin, d</w:t>
      </w:r>
      <w:r w:rsidRPr="0051571F">
        <w:t xml:space="preserve">es formes de solidarités intrafamiliales très présentes dans certains secteurs. </w:t>
      </w:r>
      <w:r w:rsidR="008C1FEF">
        <w:rPr>
          <w:rStyle w:val="extn-css-10o52y0"/>
        </w:rPr>
        <w:t xml:space="preserve">Trois raisons ont </w:t>
      </w:r>
      <w:r w:rsidR="008C1FEF">
        <w:rPr>
          <w:rStyle w:val="extn-css-h5d7i9"/>
        </w:rPr>
        <w:t xml:space="preserve">motivé </w:t>
      </w:r>
      <w:r w:rsidR="008C1FEF">
        <w:rPr>
          <w:rStyle w:val="extn-css-10o52y0"/>
        </w:rPr>
        <w:t xml:space="preserve">le </w:t>
      </w:r>
      <w:r w:rsidR="008C1FEF">
        <w:rPr>
          <w:rStyle w:val="extn-css-h5d7i9"/>
        </w:rPr>
        <w:t xml:space="preserve">choix </w:t>
      </w:r>
      <w:r w:rsidR="008C1FEF">
        <w:rPr>
          <w:rStyle w:val="extn-css-10o52y0"/>
        </w:rPr>
        <w:t xml:space="preserve">des domaines </w:t>
      </w:r>
      <w:r w:rsidR="008C1FEF">
        <w:rPr>
          <w:rStyle w:val="extn-css-h5d7i9"/>
        </w:rPr>
        <w:t>d</w:t>
      </w:r>
      <w:r w:rsidR="00A53515">
        <w:rPr>
          <w:rStyle w:val="extn-css-h5d7i9"/>
        </w:rPr>
        <w:t xml:space="preserve">es </w:t>
      </w:r>
      <w:r w:rsidR="008C1FEF">
        <w:rPr>
          <w:rStyle w:val="extn-css-h5d7i9"/>
        </w:rPr>
        <w:t xml:space="preserve">ICC </w:t>
      </w:r>
      <w:r w:rsidR="008C1FEF">
        <w:rPr>
          <w:rStyle w:val="extn-css-lq4jk2"/>
        </w:rPr>
        <w:t xml:space="preserve">retenus dans le cadre de cette </w:t>
      </w:r>
      <w:r w:rsidR="008C1FEF">
        <w:rPr>
          <w:rStyle w:val="extn-css-0"/>
        </w:rPr>
        <w:t>étude.</w:t>
      </w:r>
      <w:r w:rsidR="008C1FEF">
        <w:rPr>
          <w:rStyle w:val="muibox-root"/>
        </w:rPr>
        <w:t xml:space="preserve"> </w:t>
      </w:r>
      <w:r w:rsidR="008C1FEF">
        <w:rPr>
          <w:rStyle w:val="extn-css-0"/>
        </w:rPr>
        <w:t xml:space="preserve">La première raison </w:t>
      </w:r>
      <w:r w:rsidR="008C1FEF">
        <w:rPr>
          <w:rStyle w:val="extn-css-1tmeul0"/>
        </w:rPr>
        <w:t xml:space="preserve">est liée au grand </w:t>
      </w:r>
      <w:r w:rsidR="008C1FEF">
        <w:rPr>
          <w:rStyle w:val="extn-css-0"/>
        </w:rPr>
        <w:t xml:space="preserve">nombre d'acteurs qu'ils </w:t>
      </w:r>
      <w:r w:rsidR="008C1FEF">
        <w:rPr>
          <w:rStyle w:val="extn-css-1tmeul0"/>
        </w:rPr>
        <w:lastRenderedPageBreak/>
        <w:t xml:space="preserve">impliquent, </w:t>
      </w:r>
      <w:r w:rsidR="008C1FEF">
        <w:rPr>
          <w:rStyle w:val="extn-css-0"/>
        </w:rPr>
        <w:t xml:space="preserve">la </w:t>
      </w:r>
      <w:r w:rsidR="008C1FEF">
        <w:rPr>
          <w:rStyle w:val="extn-css-1tmeul0"/>
        </w:rPr>
        <w:t xml:space="preserve">seconde </w:t>
      </w:r>
      <w:r w:rsidR="008C1FEF">
        <w:rPr>
          <w:rStyle w:val="extn-css-0"/>
        </w:rPr>
        <w:t xml:space="preserve">se </w:t>
      </w:r>
      <w:r w:rsidR="008C1FEF">
        <w:rPr>
          <w:rStyle w:val="extn-css-1tmeul0"/>
        </w:rPr>
        <w:t xml:space="preserve">réfère </w:t>
      </w:r>
      <w:r w:rsidR="008C1FEF">
        <w:rPr>
          <w:rStyle w:val="extn-css-0"/>
        </w:rPr>
        <w:t xml:space="preserve">à leur </w:t>
      </w:r>
      <w:r w:rsidR="008C1FEF">
        <w:rPr>
          <w:rStyle w:val="extn-css-1tmeul0"/>
        </w:rPr>
        <w:t xml:space="preserve">contribution </w:t>
      </w:r>
      <w:r w:rsidR="008C1FEF">
        <w:rPr>
          <w:rStyle w:val="extn-css-0"/>
        </w:rPr>
        <w:t xml:space="preserve">à la </w:t>
      </w:r>
      <w:r w:rsidR="008C1FEF">
        <w:rPr>
          <w:rStyle w:val="extn-css-1tmeul0"/>
        </w:rPr>
        <w:t xml:space="preserve">sauvegarde </w:t>
      </w:r>
      <w:r w:rsidR="008C1FEF">
        <w:rPr>
          <w:rStyle w:val="extn-css-0"/>
        </w:rPr>
        <w:t xml:space="preserve">du patrimoine culturel de la Polynésie, </w:t>
      </w:r>
      <w:r w:rsidR="008C1FEF">
        <w:rPr>
          <w:rStyle w:val="extn-css-1tmeul0"/>
        </w:rPr>
        <w:t xml:space="preserve">tandis que </w:t>
      </w:r>
      <w:r w:rsidR="008C1FEF">
        <w:rPr>
          <w:rStyle w:val="extn-css-0"/>
        </w:rPr>
        <w:t xml:space="preserve">la troisième </w:t>
      </w:r>
      <w:r w:rsidR="008C1FEF">
        <w:rPr>
          <w:rStyle w:val="extn-css-1tmeul0"/>
        </w:rPr>
        <w:t xml:space="preserve">souligne </w:t>
      </w:r>
      <w:r w:rsidR="008C1FEF">
        <w:rPr>
          <w:rStyle w:val="extn-css-0"/>
        </w:rPr>
        <w:t xml:space="preserve">leur </w:t>
      </w:r>
      <w:r w:rsidR="008C1FEF">
        <w:rPr>
          <w:rStyle w:val="extn-css-1tmeul0"/>
        </w:rPr>
        <w:t xml:space="preserve">influence majeure </w:t>
      </w:r>
      <w:r w:rsidR="008C1FEF">
        <w:rPr>
          <w:rStyle w:val="extn-css-0"/>
        </w:rPr>
        <w:t xml:space="preserve">sur l'économie locale </w:t>
      </w:r>
      <w:r w:rsidR="008C1FEF">
        <w:rPr>
          <w:rStyle w:val="extn-css-1tmeul0"/>
        </w:rPr>
        <w:t xml:space="preserve">par </w:t>
      </w:r>
      <w:r w:rsidR="008C1FEF">
        <w:rPr>
          <w:rStyle w:val="extn-css-0"/>
        </w:rPr>
        <w:t xml:space="preserve">le </w:t>
      </w:r>
      <w:r w:rsidR="008C1FEF">
        <w:rPr>
          <w:rStyle w:val="extn-css-1tmeul0"/>
        </w:rPr>
        <w:t xml:space="preserve">biais </w:t>
      </w:r>
      <w:r w:rsidR="008C1FEF">
        <w:rPr>
          <w:rStyle w:val="extn-css-0"/>
        </w:rPr>
        <w:t xml:space="preserve">de la </w:t>
      </w:r>
      <w:r w:rsidR="008C1FEF">
        <w:rPr>
          <w:rStyle w:val="extn-css-1tmeul0"/>
        </w:rPr>
        <w:t xml:space="preserve">génération </w:t>
      </w:r>
      <w:r w:rsidR="008C1FEF">
        <w:rPr>
          <w:rStyle w:val="extn-css-0"/>
        </w:rPr>
        <w:t xml:space="preserve">de revenus, de la </w:t>
      </w:r>
      <w:r w:rsidR="008C1FEF">
        <w:rPr>
          <w:rStyle w:val="extn-css-1tmeul0"/>
        </w:rPr>
        <w:t xml:space="preserve">création d'emplois </w:t>
      </w:r>
      <w:r w:rsidR="008C1FEF">
        <w:rPr>
          <w:rStyle w:val="extn-css-0"/>
        </w:rPr>
        <w:t>et du respect des obligations fiscales.</w:t>
      </w:r>
    </w:p>
    <w:p w14:paraId="5EB84762" w14:textId="3C5D3175" w:rsidR="00E845A7" w:rsidRPr="0051571F" w:rsidRDefault="00210140" w:rsidP="00FC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markedcontent"/>
          <w:rFonts w:ascii="Times New Roman" w:hAnsi="Times New Roman" w:cs="Times New Roman"/>
        </w:rPr>
      </w:pPr>
      <w:r w:rsidRPr="00150E94">
        <w:rPr>
          <w:rFonts w:ascii="Times New Roman" w:hAnsi="Times New Roman" w:cs="Times New Roman"/>
        </w:rPr>
        <w:t>Les</w:t>
      </w:r>
      <w:r w:rsidR="00E845A7" w:rsidRPr="00150E94">
        <w:rPr>
          <w:rFonts w:ascii="Times New Roman" w:hAnsi="Times New Roman" w:cs="Times New Roman"/>
        </w:rPr>
        <w:t xml:space="preserve"> cinq </w:t>
      </w:r>
      <w:r w:rsidR="005D580A" w:rsidRPr="00150E94">
        <w:rPr>
          <w:rFonts w:ascii="Times New Roman" w:hAnsi="Times New Roman" w:cs="Times New Roman"/>
        </w:rPr>
        <w:t>domaines</w:t>
      </w:r>
      <w:r w:rsidR="00E845A7" w:rsidRPr="00150E94">
        <w:rPr>
          <w:rFonts w:ascii="Times New Roman" w:hAnsi="Times New Roman" w:cs="Times New Roman"/>
        </w:rPr>
        <w:t xml:space="preserve"> des ICC retenus sont </w:t>
      </w:r>
      <w:r w:rsidR="00253E8C" w:rsidRPr="00150E94">
        <w:rPr>
          <w:rFonts w:ascii="Times New Roman" w:hAnsi="Times New Roman" w:cs="Times New Roman"/>
        </w:rPr>
        <w:t>l</w:t>
      </w:r>
      <w:r w:rsidR="00E845A7" w:rsidRPr="00150E94">
        <w:rPr>
          <w:rFonts w:ascii="Times New Roman" w:hAnsi="Times New Roman" w:cs="Times New Roman"/>
        </w:rPr>
        <w:t>es arts de la scène et des festivités (musique, festivals, manifestations culturelles)</w:t>
      </w:r>
      <w:r w:rsidR="00B93582">
        <w:rPr>
          <w:rFonts w:ascii="Times New Roman" w:hAnsi="Times New Roman" w:cs="Times New Roman"/>
        </w:rPr>
        <w:t>,</w:t>
      </w:r>
      <w:r w:rsidR="0030350B" w:rsidRPr="00150E94">
        <w:rPr>
          <w:rStyle w:val="Appelnotedebasdep"/>
          <w:rFonts w:ascii="Times New Roman" w:hAnsi="Times New Roman" w:cs="Times New Roman"/>
        </w:rPr>
        <w:footnoteReference w:id="12"/>
      </w:r>
      <w:r w:rsidR="00253E8C" w:rsidRPr="00150E94">
        <w:rPr>
          <w:rFonts w:ascii="Times New Roman" w:hAnsi="Times New Roman" w:cs="Times New Roman"/>
        </w:rPr>
        <w:t xml:space="preserve"> l</w:t>
      </w:r>
      <w:r w:rsidR="00E845A7" w:rsidRPr="00150E94">
        <w:rPr>
          <w:rFonts w:ascii="Times New Roman" w:hAnsi="Times New Roman" w:cs="Times New Roman"/>
        </w:rPr>
        <w:t>es arts visuels et artisanat (beaux-arts, photographie, artisanat)</w:t>
      </w:r>
      <w:r w:rsidR="00B93582">
        <w:rPr>
          <w:rFonts w:ascii="Times New Roman" w:hAnsi="Times New Roman" w:cs="Times New Roman"/>
        </w:rPr>
        <w:t>,</w:t>
      </w:r>
      <w:r w:rsidR="0030350B" w:rsidRPr="00150E94">
        <w:rPr>
          <w:rStyle w:val="Appelnotedebasdep"/>
          <w:rFonts w:ascii="Times New Roman" w:hAnsi="Times New Roman" w:cs="Times New Roman"/>
        </w:rPr>
        <w:footnoteReference w:id="13"/>
      </w:r>
      <w:r w:rsidR="00253E8C" w:rsidRPr="00150E94">
        <w:rPr>
          <w:rFonts w:ascii="Times New Roman" w:hAnsi="Times New Roman" w:cs="Times New Roman"/>
        </w:rPr>
        <w:t xml:space="preserve"> l</w:t>
      </w:r>
      <w:r w:rsidR="00E845A7" w:rsidRPr="00150E94">
        <w:rPr>
          <w:rFonts w:ascii="Times New Roman" w:hAnsi="Times New Roman" w:cs="Times New Roman"/>
        </w:rPr>
        <w:t>e livre (édition de livre, salon du livre)</w:t>
      </w:r>
      <w:r w:rsidR="00B93582">
        <w:rPr>
          <w:rFonts w:ascii="Times New Roman" w:hAnsi="Times New Roman" w:cs="Times New Roman"/>
        </w:rPr>
        <w:t>,</w:t>
      </w:r>
      <w:r w:rsidR="00526BD1" w:rsidRPr="00150E94">
        <w:rPr>
          <w:rStyle w:val="Appelnotedebasdep"/>
          <w:rFonts w:ascii="Times New Roman" w:hAnsi="Times New Roman" w:cs="Times New Roman"/>
        </w:rPr>
        <w:footnoteReference w:id="14"/>
      </w:r>
      <w:r w:rsidR="00253E8C" w:rsidRPr="00150E94">
        <w:rPr>
          <w:rFonts w:ascii="Times New Roman" w:hAnsi="Times New Roman" w:cs="Times New Roman"/>
        </w:rPr>
        <w:t xml:space="preserve"> l</w:t>
      </w:r>
      <w:r w:rsidR="00E845A7" w:rsidRPr="00150E94">
        <w:rPr>
          <w:rFonts w:ascii="Times New Roman" w:hAnsi="Times New Roman" w:cs="Times New Roman"/>
        </w:rPr>
        <w:t>’audiovisuel et les médias interactifs (cinéma, vidéo, radio, filmographie</w:t>
      </w:r>
      <w:r w:rsidR="00AB705D" w:rsidRPr="00150E94">
        <w:rPr>
          <w:rFonts w:ascii="Times New Roman" w:hAnsi="Times New Roman" w:cs="Times New Roman"/>
        </w:rPr>
        <w:t>, etc.</w:t>
      </w:r>
      <w:r w:rsidR="00E845A7" w:rsidRPr="00150E94">
        <w:rPr>
          <w:rFonts w:ascii="Times New Roman" w:hAnsi="Times New Roman" w:cs="Times New Roman"/>
        </w:rPr>
        <w:t>)</w:t>
      </w:r>
      <w:r w:rsidR="00AB705D" w:rsidRPr="00150E94">
        <w:rPr>
          <w:rStyle w:val="Appelnotedebasdep"/>
          <w:rFonts w:ascii="Times New Roman" w:hAnsi="Times New Roman" w:cs="Times New Roman"/>
        </w:rPr>
        <w:footnoteReference w:id="15"/>
      </w:r>
      <w:r w:rsidR="00253E8C" w:rsidRPr="00150E94">
        <w:rPr>
          <w:rFonts w:ascii="Times New Roman" w:hAnsi="Times New Roman" w:cs="Times New Roman"/>
        </w:rPr>
        <w:t>et l</w:t>
      </w:r>
      <w:r w:rsidR="00E845A7" w:rsidRPr="00150E94">
        <w:rPr>
          <w:rFonts w:ascii="Times New Roman" w:hAnsi="Times New Roman" w:cs="Times New Roman"/>
        </w:rPr>
        <w:t>e stylisme</w:t>
      </w:r>
      <w:r w:rsidR="00BA47C5" w:rsidRPr="00150E94">
        <w:rPr>
          <w:rFonts w:ascii="Times New Roman" w:hAnsi="Times New Roman" w:cs="Times New Roman"/>
        </w:rPr>
        <w:t>.</w:t>
      </w:r>
      <w:r w:rsidR="00BA47C5" w:rsidRPr="00150E94">
        <w:rPr>
          <w:rStyle w:val="Appelnotedebasdep"/>
          <w:rFonts w:ascii="Times New Roman" w:hAnsi="Times New Roman" w:cs="Times New Roman"/>
        </w:rPr>
        <w:footnoteReference w:id="16"/>
      </w:r>
      <w:r w:rsidR="00C740CF" w:rsidRPr="00150E94">
        <w:rPr>
          <w:rFonts w:ascii="Times New Roman" w:hAnsi="Times New Roman" w:cs="Times New Roman"/>
        </w:rPr>
        <w:t>Cet article est le fruit de 40 jours d'une enquête de terrain</w:t>
      </w:r>
      <w:r w:rsidR="00945014">
        <w:rPr>
          <w:rFonts w:ascii="Times New Roman" w:hAnsi="Times New Roman" w:cs="Times New Roman"/>
        </w:rPr>
        <w:t>,</w:t>
      </w:r>
      <w:r w:rsidR="00C740CF" w:rsidRPr="00150E94">
        <w:rPr>
          <w:rFonts w:ascii="Times New Roman" w:hAnsi="Times New Roman" w:cs="Times New Roman"/>
        </w:rPr>
        <w:t xml:space="preserve"> commencée le 28 octobre et </w:t>
      </w:r>
      <w:r w:rsidR="009F618F">
        <w:rPr>
          <w:rFonts w:ascii="Times New Roman" w:hAnsi="Times New Roman" w:cs="Times New Roman"/>
        </w:rPr>
        <w:t>terminée</w:t>
      </w:r>
      <w:r w:rsidR="00C740CF" w:rsidRPr="00150E94">
        <w:rPr>
          <w:rFonts w:ascii="Times New Roman" w:hAnsi="Times New Roman" w:cs="Times New Roman"/>
        </w:rPr>
        <w:t xml:space="preserve"> le 5 décembre 2022. </w:t>
      </w:r>
      <w:r w:rsidR="00282D27">
        <w:rPr>
          <w:rFonts w:ascii="Times New Roman" w:hAnsi="Times New Roman" w:cs="Times New Roman"/>
        </w:rPr>
        <w:t xml:space="preserve">Cette </w:t>
      </w:r>
      <w:r w:rsidR="00C740CF" w:rsidRPr="00150E94">
        <w:rPr>
          <w:rFonts w:ascii="Times New Roman" w:hAnsi="Times New Roman" w:cs="Times New Roman"/>
        </w:rPr>
        <w:t xml:space="preserve">évaluation permet </w:t>
      </w:r>
      <w:r w:rsidR="00EF3477" w:rsidRPr="00150E94">
        <w:rPr>
          <w:rFonts w:ascii="Times New Roman" w:hAnsi="Times New Roman" w:cs="Times New Roman"/>
        </w:rPr>
        <w:t>d</w:t>
      </w:r>
      <w:r w:rsidR="000C6A4D" w:rsidRPr="00150E94">
        <w:rPr>
          <w:rStyle w:val="y2iqfc"/>
          <w:rFonts w:ascii="Times New Roman" w:hAnsi="Times New Roman" w:cs="Times New Roman"/>
        </w:rPr>
        <w:t xml:space="preserve">e </w:t>
      </w:r>
      <w:r w:rsidR="000C6A4D" w:rsidRPr="00150E94">
        <w:rPr>
          <w:rFonts w:ascii="Times New Roman" w:hAnsi="Times New Roman" w:cs="Times New Roman"/>
        </w:rPr>
        <w:t>cartographier les ICC</w:t>
      </w:r>
      <w:r w:rsidR="00EF3477" w:rsidRPr="00150E94">
        <w:rPr>
          <w:rFonts w:ascii="Times New Roman" w:hAnsi="Times New Roman" w:cs="Times New Roman"/>
        </w:rPr>
        <w:t>, d</w:t>
      </w:r>
      <w:r w:rsidR="000C6A4D" w:rsidRPr="00150E94">
        <w:rPr>
          <w:rFonts w:ascii="Times New Roman" w:hAnsi="Times New Roman" w:cs="Times New Roman"/>
        </w:rPr>
        <w:t>e renseigner les statistiques sectorielles disponibles</w:t>
      </w:r>
      <w:r w:rsidR="00EF3477" w:rsidRPr="00150E94">
        <w:rPr>
          <w:rFonts w:ascii="Times New Roman" w:hAnsi="Times New Roman" w:cs="Times New Roman"/>
        </w:rPr>
        <w:t>, d</w:t>
      </w:r>
      <w:r w:rsidR="000C6A4D" w:rsidRPr="00150E94">
        <w:rPr>
          <w:rFonts w:ascii="Times New Roman" w:hAnsi="Times New Roman" w:cs="Times New Roman"/>
        </w:rPr>
        <w:t>’</w:t>
      </w:r>
      <w:r w:rsidR="000C6A4D" w:rsidRPr="00150E94">
        <w:rPr>
          <w:rStyle w:val="y2iqfc"/>
          <w:rFonts w:ascii="Times New Roman" w:hAnsi="Times New Roman" w:cs="Times New Roman"/>
        </w:rPr>
        <w:t xml:space="preserve">évaluer la résilience et </w:t>
      </w:r>
      <w:r w:rsidR="000C6A4D" w:rsidRPr="00150E94">
        <w:rPr>
          <w:rFonts w:ascii="Times New Roman" w:hAnsi="Times New Roman" w:cs="Times New Roman"/>
        </w:rPr>
        <w:t>le potentiel à créer de l’emploi, à participer à la croissance économique du territoire et plus largement, à lutter contre les formes de précarité et de pauvreté, de mettre en évidence les opportunités et les contraintes rencontrées dans le secteur culturel</w:t>
      </w:r>
      <w:r w:rsidR="00EF3477" w:rsidRPr="00150E94">
        <w:rPr>
          <w:rFonts w:ascii="Times New Roman" w:hAnsi="Times New Roman" w:cs="Times New Roman"/>
        </w:rPr>
        <w:t>, d</w:t>
      </w:r>
      <w:r w:rsidR="000C6A4D" w:rsidRPr="00150E94">
        <w:rPr>
          <w:rFonts w:ascii="Times New Roman" w:hAnsi="Times New Roman" w:cs="Times New Roman"/>
        </w:rPr>
        <w:t xml:space="preserve">’éclairer à partir des résultats obtenus les initiatives nationales </w:t>
      </w:r>
      <w:r w:rsidR="00EF3477" w:rsidRPr="00150E94">
        <w:rPr>
          <w:rFonts w:ascii="Times New Roman" w:hAnsi="Times New Roman" w:cs="Times New Roman"/>
        </w:rPr>
        <w:t>et d</w:t>
      </w:r>
      <w:r w:rsidR="000C6A4D" w:rsidRPr="00150E94">
        <w:rPr>
          <w:rFonts w:ascii="Times New Roman" w:hAnsi="Times New Roman" w:cs="Times New Roman"/>
        </w:rPr>
        <w:t xml:space="preserve">e développer une méthodologie de projet pour mener des études similaires dans d'autres territoires insulaires </w:t>
      </w:r>
      <w:r w:rsidR="00464EEE">
        <w:rPr>
          <w:rFonts w:ascii="Times New Roman" w:hAnsi="Times New Roman" w:cs="Times New Roman"/>
        </w:rPr>
        <w:t>océaniens</w:t>
      </w:r>
      <w:r w:rsidR="000C6A4D" w:rsidRPr="00150E94">
        <w:rPr>
          <w:rFonts w:ascii="Times New Roman" w:hAnsi="Times New Roman" w:cs="Times New Roman"/>
        </w:rPr>
        <w:t>.</w:t>
      </w:r>
      <w:r w:rsidR="00FC2E34">
        <w:rPr>
          <w:rFonts w:ascii="Times New Roman" w:hAnsi="Times New Roman" w:cs="Times New Roman"/>
        </w:rPr>
        <w:t xml:space="preserve"> </w:t>
      </w:r>
      <w:r w:rsidR="00FF08BF">
        <w:rPr>
          <w:rStyle w:val="markedcontent"/>
          <w:rFonts w:ascii="Times New Roman" w:hAnsi="Times New Roman" w:cs="Times New Roman"/>
        </w:rPr>
        <w:t xml:space="preserve">Les résultats </w:t>
      </w:r>
      <w:r w:rsidR="004D2378">
        <w:rPr>
          <w:rStyle w:val="markedcontent"/>
          <w:rFonts w:ascii="Times New Roman" w:hAnsi="Times New Roman" w:cs="Times New Roman"/>
        </w:rPr>
        <w:t xml:space="preserve">sont préliminaires et </w:t>
      </w:r>
      <w:r w:rsidR="00E845A7" w:rsidRPr="0051571F">
        <w:rPr>
          <w:rStyle w:val="markedcontent"/>
          <w:rFonts w:ascii="Times New Roman" w:hAnsi="Times New Roman" w:cs="Times New Roman"/>
        </w:rPr>
        <w:t>constitue</w:t>
      </w:r>
      <w:r w:rsidR="00FF08BF">
        <w:rPr>
          <w:rStyle w:val="markedcontent"/>
          <w:rFonts w:ascii="Times New Roman" w:hAnsi="Times New Roman" w:cs="Times New Roman"/>
        </w:rPr>
        <w:t>nt</w:t>
      </w:r>
      <w:r w:rsidR="00E845A7" w:rsidRPr="0051571F">
        <w:rPr>
          <w:rStyle w:val="markedcontent"/>
          <w:rFonts w:ascii="Times New Roman" w:hAnsi="Times New Roman" w:cs="Times New Roman"/>
        </w:rPr>
        <w:t xml:space="preserve"> </w:t>
      </w:r>
      <w:r w:rsidR="0017068C">
        <w:rPr>
          <w:rStyle w:val="markedcontent"/>
          <w:rFonts w:ascii="Times New Roman" w:hAnsi="Times New Roman" w:cs="Times New Roman"/>
        </w:rPr>
        <w:t>une</w:t>
      </w:r>
      <w:r w:rsidR="00E845A7" w:rsidRPr="0051571F">
        <w:rPr>
          <w:rStyle w:val="markedcontent"/>
          <w:rFonts w:ascii="Times New Roman" w:hAnsi="Times New Roman" w:cs="Times New Roman"/>
        </w:rPr>
        <w:t xml:space="preserve"> première étude comparative sur les </w:t>
      </w:r>
      <w:r w:rsidR="00D4571C">
        <w:rPr>
          <w:rStyle w:val="markedcontent"/>
          <w:rFonts w:ascii="Times New Roman" w:hAnsi="Times New Roman" w:cs="Times New Roman"/>
        </w:rPr>
        <w:t>ICC</w:t>
      </w:r>
      <w:r w:rsidR="00E845A7" w:rsidRPr="0051571F">
        <w:rPr>
          <w:rStyle w:val="markedcontent"/>
          <w:rFonts w:ascii="Times New Roman" w:hAnsi="Times New Roman" w:cs="Times New Roman"/>
        </w:rPr>
        <w:t xml:space="preserve"> en Polynésie française. </w:t>
      </w:r>
    </w:p>
    <w:p w14:paraId="78357038" w14:textId="2C3D74F4" w:rsidR="00A16A05" w:rsidRDefault="00A16A05" w:rsidP="006F0AF6">
      <w:pPr>
        <w:rPr>
          <w:rFonts w:ascii="Times New Roman" w:hAnsi="Times New Roman" w:cs="Times New Roman"/>
        </w:rPr>
      </w:pPr>
    </w:p>
    <w:p w14:paraId="63D31935" w14:textId="697E10CD" w:rsidR="00150559" w:rsidRPr="00D13090" w:rsidRDefault="00150559" w:rsidP="006F0AF6">
      <w:pPr>
        <w:rPr>
          <w:rFonts w:ascii="Times New Roman" w:hAnsi="Times New Roman" w:cs="Times New Roman"/>
        </w:rPr>
      </w:pPr>
      <w:r w:rsidRPr="00D13090">
        <w:rPr>
          <w:rFonts w:ascii="Times New Roman" w:hAnsi="Times New Roman" w:cs="Times New Roman"/>
        </w:rPr>
        <w:t>Méthodologie</w:t>
      </w:r>
      <w:r w:rsidR="00D13090">
        <w:rPr>
          <w:rFonts w:ascii="Times New Roman" w:hAnsi="Times New Roman" w:cs="Times New Roman"/>
        </w:rPr>
        <w:t> :</w:t>
      </w:r>
    </w:p>
    <w:p w14:paraId="347AE018" w14:textId="77777777" w:rsidR="00150559" w:rsidRPr="0051571F" w:rsidRDefault="00150559" w:rsidP="006F0AF6">
      <w:pPr>
        <w:rPr>
          <w:rFonts w:ascii="Times New Roman" w:hAnsi="Times New Roman" w:cs="Times New Roman"/>
        </w:rPr>
      </w:pPr>
    </w:p>
    <w:p w14:paraId="68F3CA63" w14:textId="53AD0D91" w:rsidR="00F127D6" w:rsidRPr="0051571F" w:rsidRDefault="00F127D6" w:rsidP="006F0AF6">
      <w:pPr>
        <w:adjustRightInd w:val="0"/>
        <w:snapToGrid w:val="0"/>
        <w:jc w:val="both"/>
        <w:rPr>
          <w:rStyle w:val="y2iqfc"/>
          <w:rFonts w:ascii="Times New Roman" w:hAnsi="Times New Roman" w:cs="Times New Roman"/>
        </w:rPr>
      </w:pPr>
      <w:r w:rsidRPr="0051571F">
        <w:rPr>
          <w:rFonts w:ascii="Times New Roman" w:hAnsi="Times New Roman" w:cs="Times New Roman"/>
        </w:rPr>
        <w:t xml:space="preserve">Dans le cadre de cette étude, nous adoptons une méthodologie mixte en privilégiant une approche qualitative développée autour de deux axes (entretiens semi-directifs et analyse documentaire) </w:t>
      </w:r>
      <w:r w:rsidR="00E93EC5">
        <w:rPr>
          <w:rFonts w:ascii="Times New Roman" w:hAnsi="Times New Roman" w:cs="Times New Roman"/>
        </w:rPr>
        <w:t>et</w:t>
      </w:r>
      <w:r w:rsidRPr="0051571F">
        <w:rPr>
          <w:rFonts w:ascii="Times New Roman" w:hAnsi="Times New Roman" w:cs="Times New Roman"/>
        </w:rPr>
        <w:t xml:space="preserve"> une approche quantitative</w:t>
      </w:r>
      <w:r w:rsidRPr="0051571F">
        <w:rPr>
          <w:rStyle w:val="y2iqfc"/>
          <w:rFonts w:ascii="Times New Roman" w:hAnsi="Times New Roman" w:cs="Times New Roman"/>
        </w:rPr>
        <w:t>.</w:t>
      </w:r>
    </w:p>
    <w:p w14:paraId="6958EBFE" w14:textId="77777777" w:rsidR="00D21512" w:rsidRDefault="00D21512" w:rsidP="007F48C2">
      <w:pPr>
        <w:adjustRightInd w:val="0"/>
        <w:snapToGrid w:val="0"/>
        <w:jc w:val="both"/>
        <w:rPr>
          <w:rFonts w:ascii="Times New Roman" w:hAnsi="Times New Roman" w:cs="Times New Roman"/>
        </w:rPr>
      </w:pPr>
    </w:p>
    <w:p w14:paraId="3FC08AFF" w14:textId="4413FD42" w:rsidR="00D21512" w:rsidRPr="00D21512" w:rsidRDefault="00D21512" w:rsidP="007F48C2">
      <w:pPr>
        <w:adjustRightInd w:val="0"/>
        <w:snapToGrid w:val="0"/>
        <w:jc w:val="both"/>
        <w:rPr>
          <w:rFonts w:ascii="Times New Roman" w:hAnsi="Times New Roman" w:cs="Times New Roman"/>
          <w:i/>
          <w:iCs/>
        </w:rPr>
      </w:pPr>
      <w:r w:rsidRPr="00D21512">
        <w:rPr>
          <w:rFonts w:ascii="Times New Roman" w:hAnsi="Times New Roman" w:cs="Times New Roman"/>
          <w:i/>
          <w:iCs/>
        </w:rPr>
        <w:t>Entretiens semi-directifs</w:t>
      </w:r>
    </w:p>
    <w:p w14:paraId="3409B555" w14:textId="13625E18" w:rsidR="00F127D6" w:rsidRPr="007F48C2" w:rsidRDefault="00F127D6" w:rsidP="007F48C2">
      <w:pPr>
        <w:adjustRightInd w:val="0"/>
        <w:snapToGrid w:val="0"/>
        <w:jc w:val="both"/>
        <w:rPr>
          <w:rFonts w:ascii="Times New Roman" w:hAnsi="Times New Roman" w:cs="Times New Roman"/>
        </w:rPr>
      </w:pPr>
      <w:r w:rsidRPr="007F48C2">
        <w:rPr>
          <w:rFonts w:ascii="Times New Roman" w:hAnsi="Times New Roman" w:cs="Times New Roman"/>
        </w:rPr>
        <w:t>Des entretiens semi-directif</w:t>
      </w:r>
      <w:r w:rsidR="008D5E80" w:rsidRPr="007F48C2">
        <w:rPr>
          <w:rFonts w:ascii="Times New Roman" w:hAnsi="Times New Roman" w:cs="Times New Roman"/>
        </w:rPr>
        <w:t>s</w:t>
      </w:r>
      <w:r w:rsidRPr="007F48C2">
        <w:rPr>
          <w:rFonts w:ascii="Times New Roman" w:hAnsi="Times New Roman" w:cs="Times New Roman"/>
        </w:rPr>
        <w:t xml:space="preserve"> ont été conduits avec les </w:t>
      </w:r>
      <w:r w:rsidRPr="007F48C2">
        <w:rPr>
          <w:rStyle w:val="y2iqfc"/>
          <w:rFonts w:ascii="Times New Roman" w:hAnsi="Times New Roman" w:cs="Times New Roman"/>
        </w:rPr>
        <w:t xml:space="preserve">principaux intervenants des </w:t>
      </w:r>
      <w:r w:rsidR="00B177D8">
        <w:rPr>
          <w:rStyle w:val="y2iqfc"/>
          <w:rFonts w:ascii="Times New Roman" w:hAnsi="Times New Roman" w:cs="Times New Roman"/>
        </w:rPr>
        <w:t>domaines</w:t>
      </w:r>
      <w:r w:rsidRPr="007F48C2">
        <w:rPr>
          <w:rStyle w:val="y2iqfc"/>
          <w:rFonts w:ascii="Times New Roman" w:hAnsi="Times New Roman" w:cs="Times New Roman"/>
        </w:rPr>
        <w:t xml:space="preserve"> de la culture, du tourisme et des </w:t>
      </w:r>
      <w:r w:rsidR="00186FEA">
        <w:rPr>
          <w:rStyle w:val="y2iqfc"/>
          <w:rFonts w:ascii="Times New Roman" w:hAnsi="Times New Roman" w:cs="Times New Roman"/>
        </w:rPr>
        <w:t>ICC</w:t>
      </w:r>
      <w:r w:rsidRPr="007F48C2">
        <w:rPr>
          <w:rFonts w:ascii="Times New Roman" w:hAnsi="Times New Roman" w:cs="Times New Roman"/>
        </w:rPr>
        <w:t xml:space="preserve">, afin de recueillir les éléments nécessaires </w:t>
      </w:r>
      <w:r w:rsidR="00336BD4" w:rsidRPr="007F48C2">
        <w:rPr>
          <w:rFonts w:ascii="Times New Roman" w:hAnsi="Times New Roman" w:cs="Times New Roman"/>
        </w:rPr>
        <w:t>pour</w:t>
      </w:r>
      <w:r w:rsidRPr="007F48C2">
        <w:rPr>
          <w:rFonts w:ascii="Times New Roman" w:hAnsi="Times New Roman" w:cs="Times New Roman"/>
        </w:rPr>
        <w:t xml:space="preserve"> appréhender</w:t>
      </w:r>
      <w:r w:rsidR="00336BD4" w:rsidRPr="007F48C2">
        <w:rPr>
          <w:rFonts w:ascii="Times New Roman" w:hAnsi="Times New Roman" w:cs="Times New Roman"/>
        </w:rPr>
        <w:t xml:space="preserve"> l</w:t>
      </w:r>
      <w:r w:rsidRPr="007F48C2">
        <w:rPr>
          <w:rFonts w:ascii="Times New Roman" w:hAnsi="Times New Roman" w:cs="Times New Roman"/>
        </w:rPr>
        <w:t>eur expérience de la crise sanitaire sur leur activité</w:t>
      </w:r>
      <w:r w:rsidR="00336BD4" w:rsidRPr="007F48C2">
        <w:rPr>
          <w:rFonts w:ascii="Times New Roman" w:hAnsi="Times New Roman" w:cs="Times New Roman"/>
        </w:rPr>
        <w:t>, l</w:t>
      </w:r>
      <w:r w:rsidRPr="007F48C2">
        <w:rPr>
          <w:rFonts w:ascii="Times New Roman" w:hAnsi="Times New Roman" w:cs="Times New Roman"/>
        </w:rPr>
        <w:t>es principales problématiques rencontrées et</w:t>
      </w:r>
      <w:r w:rsidR="00336BD4" w:rsidRPr="007F48C2">
        <w:rPr>
          <w:rFonts w:ascii="Times New Roman" w:hAnsi="Times New Roman" w:cs="Times New Roman"/>
        </w:rPr>
        <w:t xml:space="preserve"> l</w:t>
      </w:r>
      <w:r w:rsidRPr="007F48C2">
        <w:rPr>
          <w:rFonts w:ascii="Times New Roman" w:hAnsi="Times New Roman" w:cs="Times New Roman"/>
        </w:rPr>
        <w:t>es stratégies d</w:t>
      </w:r>
      <w:r w:rsidR="00F1709B">
        <w:rPr>
          <w:rFonts w:ascii="Times New Roman" w:hAnsi="Times New Roman" w:cs="Times New Roman"/>
        </w:rPr>
        <w:t>e maintien</w:t>
      </w:r>
      <w:r w:rsidRPr="007F48C2">
        <w:rPr>
          <w:rFonts w:ascii="Times New Roman" w:hAnsi="Times New Roman" w:cs="Times New Roman"/>
        </w:rPr>
        <w:t xml:space="preserve"> </w:t>
      </w:r>
      <w:r w:rsidR="001153FD">
        <w:rPr>
          <w:rFonts w:ascii="Times New Roman" w:hAnsi="Times New Roman" w:cs="Times New Roman"/>
        </w:rPr>
        <w:t xml:space="preserve">de </w:t>
      </w:r>
      <w:r w:rsidRPr="007F48C2">
        <w:rPr>
          <w:rFonts w:ascii="Times New Roman" w:hAnsi="Times New Roman" w:cs="Times New Roman"/>
        </w:rPr>
        <w:t>leur activité. Au total, 94 entretiens ont été réalisés. L’ensemble des entretiens a été réalisé en « face</w:t>
      </w:r>
      <w:r w:rsidR="00222AEF" w:rsidRPr="007F48C2">
        <w:rPr>
          <w:rFonts w:ascii="Times New Roman" w:hAnsi="Times New Roman" w:cs="Times New Roman"/>
        </w:rPr>
        <w:t>-à-</w:t>
      </w:r>
      <w:r w:rsidRPr="007F48C2">
        <w:rPr>
          <w:rFonts w:ascii="Times New Roman" w:hAnsi="Times New Roman" w:cs="Times New Roman"/>
        </w:rPr>
        <w:t>face », en tahitien et en français.</w:t>
      </w:r>
      <w:r w:rsidR="00235260" w:rsidRPr="007F48C2">
        <w:rPr>
          <w:rFonts w:ascii="Times New Roman" w:hAnsi="Times New Roman" w:cs="Times New Roman"/>
        </w:rPr>
        <w:t xml:space="preserve"> </w:t>
      </w:r>
      <w:r w:rsidR="007F48C2" w:rsidRPr="007F48C2">
        <w:rPr>
          <w:rFonts w:ascii="Times New Roman" w:hAnsi="Times New Roman" w:cs="Times New Roman"/>
        </w:rPr>
        <w:t xml:space="preserve">Parmi les acteurs </w:t>
      </w:r>
      <w:r w:rsidR="007F48C2" w:rsidRPr="007F48C2">
        <w:rPr>
          <w:rFonts w:ascii="Times New Roman" w:hAnsi="Times New Roman" w:cs="Times New Roman"/>
        </w:rPr>
        <w:lastRenderedPageBreak/>
        <w:t xml:space="preserve">interrogés, on compte </w:t>
      </w:r>
      <w:r w:rsidRPr="007F48C2">
        <w:rPr>
          <w:rFonts w:ascii="Times New Roman" w:hAnsi="Times New Roman" w:cs="Times New Roman"/>
          <w:color w:val="000000" w:themeColor="text1"/>
        </w:rPr>
        <w:t>51 acteurs des arts visuels et artisanats</w:t>
      </w:r>
      <w:r w:rsidR="00885DAC">
        <w:rPr>
          <w:rFonts w:ascii="Times New Roman" w:hAnsi="Times New Roman" w:cs="Times New Roman"/>
          <w:color w:val="000000" w:themeColor="text1"/>
        </w:rPr>
        <w:t>,</w:t>
      </w:r>
      <w:r w:rsidR="00D33ABE" w:rsidRPr="007F48C2">
        <w:rPr>
          <w:rStyle w:val="Appelnotedebasdep"/>
          <w:rFonts w:ascii="Times New Roman" w:hAnsi="Times New Roman" w:cs="Times New Roman"/>
          <w:color w:val="000000" w:themeColor="text1"/>
        </w:rPr>
        <w:footnoteReference w:id="17"/>
      </w:r>
      <w:r w:rsidR="007F48C2" w:rsidRPr="007F48C2">
        <w:rPr>
          <w:rFonts w:ascii="Times New Roman" w:hAnsi="Times New Roman" w:cs="Times New Roman"/>
          <w:color w:val="000000" w:themeColor="text1"/>
        </w:rPr>
        <w:t xml:space="preserve"> </w:t>
      </w:r>
      <w:r w:rsidRPr="007F48C2">
        <w:rPr>
          <w:rFonts w:ascii="Times New Roman" w:hAnsi="Times New Roman" w:cs="Times New Roman"/>
          <w:color w:val="000000" w:themeColor="text1"/>
        </w:rPr>
        <w:t>24 acteurs du stylisme</w:t>
      </w:r>
      <w:r w:rsidR="00885DAC">
        <w:rPr>
          <w:rFonts w:ascii="Times New Roman" w:hAnsi="Times New Roman" w:cs="Times New Roman"/>
          <w:color w:val="000000" w:themeColor="text1"/>
        </w:rPr>
        <w:t>,</w:t>
      </w:r>
      <w:r w:rsidR="00323F74" w:rsidRPr="007F48C2">
        <w:rPr>
          <w:rStyle w:val="Appelnotedebasdep"/>
          <w:rFonts w:ascii="Times New Roman" w:hAnsi="Times New Roman" w:cs="Times New Roman"/>
          <w:color w:val="000000" w:themeColor="text1"/>
        </w:rPr>
        <w:footnoteReference w:id="18"/>
      </w:r>
      <w:r w:rsidR="007F48C2" w:rsidRPr="007F48C2">
        <w:rPr>
          <w:rFonts w:ascii="Times New Roman" w:hAnsi="Times New Roman" w:cs="Times New Roman"/>
          <w:color w:val="000000" w:themeColor="text1"/>
        </w:rPr>
        <w:t xml:space="preserve"> </w:t>
      </w:r>
      <w:r w:rsidRPr="007F48C2">
        <w:rPr>
          <w:rFonts w:ascii="Times New Roman" w:hAnsi="Times New Roman" w:cs="Times New Roman"/>
          <w:color w:val="000000" w:themeColor="text1"/>
        </w:rPr>
        <w:t>3 acteurs des arts de la scène et des festivités</w:t>
      </w:r>
      <w:r w:rsidR="007F48C2" w:rsidRPr="007F48C2">
        <w:rPr>
          <w:rFonts w:ascii="Times New Roman" w:hAnsi="Times New Roman" w:cs="Times New Roman"/>
          <w:color w:val="000000" w:themeColor="text1"/>
        </w:rPr>
        <w:t xml:space="preserve">, </w:t>
      </w:r>
      <w:r w:rsidRPr="007F48C2">
        <w:rPr>
          <w:rFonts w:ascii="Times New Roman" w:hAnsi="Times New Roman" w:cs="Times New Roman"/>
          <w:color w:val="000000" w:themeColor="text1"/>
        </w:rPr>
        <w:t>3 acteurs de l’audiovisuel</w:t>
      </w:r>
      <w:r w:rsidR="000407F9">
        <w:rPr>
          <w:rFonts w:ascii="Times New Roman" w:hAnsi="Times New Roman" w:cs="Times New Roman"/>
          <w:color w:val="000000" w:themeColor="text1"/>
        </w:rPr>
        <w:t>,</w:t>
      </w:r>
      <w:r w:rsidR="00BC3E9E" w:rsidRPr="007F48C2">
        <w:rPr>
          <w:rStyle w:val="Appelnotedebasdep"/>
          <w:rFonts w:ascii="Times New Roman" w:hAnsi="Times New Roman" w:cs="Times New Roman"/>
          <w:color w:val="000000" w:themeColor="text1"/>
        </w:rPr>
        <w:footnoteReference w:id="19"/>
      </w:r>
      <w:r w:rsidR="007F48C2" w:rsidRPr="007F48C2">
        <w:rPr>
          <w:rFonts w:ascii="Times New Roman" w:hAnsi="Times New Roman" w:cs="Times New Roman"/>
          <w:color w:val="000000" w:themeColor="text1"/>
        </w:rPr>
        <w:t xml:space="preserve"> </w:t>
      </w:r>
      <w:r w:rsidRPr="007F48C2">
        <w:rPr>
          <w:rFonts w:ascii="Times New Roman" w:hAnsi="Times New Roman" w:cs="Times New Roman"/>
          <w:color w:val="000000" w:themeColor="text1"/>
        </w:rPr>
        <w:t>7 responsables de Maison d’édition pour le domaine du livre</w:t>
      </w:r>
      <w:r w:rsidR="009B6DB1" w:rsidRPr="007F48C2">
        <w:rPr>
          <w:rStyle w:val="Appelnotedebasdep"/>
          <w:rFonts w:ascii="Times New Roman" w:hAnsi="Times New Roman" w:cs="Times New Roman"/>
          <w:color w:val="000000" w:themeColor="text1"/>
        </w:rPr>
        <w:footnoteReference w:id="20"/>
      </w:r>
      <w:r w:rsidR="007F48C2" w:rsidRPr="007F48C2">
        <w:rPr>
          <w:rFonts w:ascii="Times New Roman" w:hAnsi="Times New Roman" w:cs="Times New Roman"/>
          <w:color w:val="000000" w:themeColor="text1"/>
        </w:rPr>
        <w:t xml:space="preserve">et </w:t>
      </w:r>
      <w:r w:rsidRPr="007F48C2">
        <w:rPr>
          <w:rFonts w:ascii="Times New Roman" w:hAnsi="Times New Roman" w:cs="Times New Roman"/>
          <w:color w:val="000000" w:themeColor="text1"/>
        </w:rPr>
        <w:t xml:space="preserve">6 </w:t>
      </w:r>
      <w:r w:rsidR="009401E0" w:rsidRPr="007F48C2">
        <w:rPr>
          <w:rFonts w:ascii="Times New Roman" w:hAnsi="Times New Roman" w:cs="Times New Roman"/>
          <w:color w:val="000000" w:themeColor="text1"/>
        </w:rPr>
        <w:t xml:space="preserve">représentants institutionnels du </w:t>
      </w:r>
      <w:r w:rsidR="00A66A71" w:rsidRPr="007F48C2">
        <w:rPr>
          <w:rFonts w:ascii="Times New Roman" w:hAnsi="Times New Roman" w:cs="Times New Roman"/>
          <w:color w:val="000000" w:themeColor="text1"/>
        </w:rPr>
        <w:t>ministère de la Culture</w:t>
      </w:r>
      <w:r w:rsidRPr="007F48C2">
        <w:rPr>
          <w:rFonts w:ascii="Times New Roman" w:hAnsi="Times New Roman" w:cs="Times New Roman"/>
          <w:color w:val="000000" w:themeColor="text1"/>
        </w:rPr>
        <w:t xml:space="preserve"> en Polynésie française</w:t>
      </w:r>
      <w:r w:rsidR="00F959DA" w:rsidRPr="007F48C2">
        <w:rPr>
          <w:rFonts w:ascii="Times New Roman" w:hAnsi="Times New Roman" w:cs="Times New Roman"/>
          <w:color w:val="000000" w:themeColor="text1"/>
        </w:rPr>
        <w:t>.</w:t>
      </w:r>
      <w:r w:rsidR="00F959DA" w:rsidRPr="007F48C2">
        <w:rPr>
          <w:rStyle w:val="Appelnotedebasdep"/>
          <w:rFonts w:ascii="Times New Roman" w:hAnsi="Times New Roman" w:cs="Times New Roman"/>
          <w:color w:val="000000" w:themeColor="text1"/>
        </w:rPr>
        <w:footnoteReference w:id="21"/>
      </w:r>
    </w:p>
    <w:p w14:paraId="25524027" w14:textId="77777777" w:rsidR="00AE4AF3" w:rsidRDefault="00AE4AF3" w:rsidP="007F154E">
      <w:pPr>
        <w:jc w:val="both"/>
        <w:rPr>
          <w:rFonts w:ascii="Times New Roman" w:hAnsi="Times New Roman" w:cs="Times New Roman"/>
        </w:rPr>
      </w:pPr>
    </w:p>
    <w:p w14:paraId="78750951" w14:textId="70384FF2" w:rsidR="00AE4AF3" w:rsidRPr="00AE4AF3" w:rsidRDefault="00AE4AF3" w:rsidP="007F154E">
      <w:pPr>
        <w:jc w:val="both"/>
        <w:rPr>
          <w:rFonts w:ascii="Times New Roman" w:hAnsi="Times New Roman" w:cs="Times New Roman"/>
          <w:i/>
          <w:iCs/>
        </w:rPr>
      </w:pPr>
      <w:r w:rsidRPr="00AE4AF3">
        <w:rPr>
          <w:rFonts w:ascii="Times New Roman" w:hAnsi="Times New Roman" w:cs="Times New Roman"/>
          <w:i/>
          <w:iCs/>
        </w:rPr>
        <w:t>Questionnaire</w:t>
      </w:r>
    </w:p>
    <w:p w14:paraId="59DCCC4E" w14:textId="5F73CC64" w:rsidR="00F127D6" w:rsidRPr="0051571F" w:rsidRDefault="00F127D6" w:rsidP="007F154E">
      <w:pPr>
        <w:jc w:val="both"/>
        <w:rPr>
          <w:rFonts w:ascii="Times New Roman" w:hAnsi="Times New Roman" w:cs="Times New Roman"/>
        </w:rPr>
      </w:pPr>
      <w:r w:rsidRPr="0051571F">
        <w:rPr>
          <w:rFonts w:ascii="Times New Roman" w:hAnsi="Times New Roman" w:cs="Times New Roman"/>
        </w:rPr>
        <w:t xml:space="preserve">En raison du nombre </w:t>
      </w:r>
      <w:r w:rsidRPr="0051571F">
        <w:rPr>
          <w:rStyle w:val="y2iqfc"/>
          <w:rFonts w:ascii="Times New Roman" w:hAnsi="Times New Roman" w:cs="Times New Roman"/>
        </w:rPr>
        <w:t>d’organisations artistiques et culturelles nationales publiques et non gouvernementales, de producteurs culturels, d'artisans du patrimoine, d'artistes contemporains et d'acteurs commerciaux</w:t>
      </w:r>
      <w:r w:rsidRPr="0051571F">
        <w:rPr>
          <w:rFonts w:ascii="Times New Roman" w:hAnsi="Times New Roman" w:cs="Times New Roman"/>
        </w:rPr>
        <w:t xml:space="preserve"> d’un côté et des différentes associations qui œuvrent dans le monde du spectacle, de la scène d’un autre côté, le choix d’un questionnaire s’est avéré pertinent et évident. </w:t>
      </w:r>
      <w:r w:rsidR="009330C2">
        <w:rPr>
          <w:rFonts w:ascii="Times New Roman" w:hAnsi="Times New Roman" w:cs="Times New Roman"/>
        </w:rPr>
        <w:t>Si l</w:t>
      </w:r>
      <w:r w:rsidR="00804792">
        <w:rPr>
          <w:rFonts w:ascii="Times New Roman" w:hAnsi="Times New Roman" w:cs="Times New Roman"/>
        </w:rPr>
        <w:t xml:space="preserve">e </w:t>
      </w:r>
      <w:r w:rsidRPr="0051571F">
        <w:rPr>
          <w:rFonts w:ascii="Times New Roman" w:hAnsi="Times New Roman" w:cs="Times New Roman"/>
        </w:rPr>
        <w:t>questionnaire</w:t>
      </w:r>
      <w:r w:rsidR="00804792">
        <w:rPr>
          <w:rFonts w:ascii="Times New Roman" w:hAnsi="Times New Roman" w:cs="Times New Roman"/>
        </w:rPr>
        <w:t xml:space="preserve"> a </w:t>
      </w:r>
      <w:r w:rsidRPr="0051571F">
        <w:rPr>
          <w:rFonts w:ascii="Times New Roman" w:hAnsi="Times New Roman" w:cs="Times New Roman"/>
        </w:rPr>
        <w:t>été transmis à 56 acteurs des ICC</w:t>
      </w:r>
      <w:r w:rsidR="00B2154B">
        <w:rPr>
          <w:rFonts w:ascii="Times New Roman" w:hAnsi="Times New Roman" w:cs="Times New Roman"/>
        </w:rPr>
        <w:t xml:space="preserve">, dont </w:t>
      </w:r>
      <w:r w:rsidRPr="0051571F">
        <w:rPr>
          <w:rFonts w:ascii="Times New Roman" w:hAnsi="Times New Roman" w:cs="Times New Roman"/>
        </w:rPr>
        <w:t xml:space="preserve">3 </w:t>
      </w:r>
      <w:r w:rsidR="00B2154B">
        <w:rPr>
          <w:rFonts w:ascii="Times New Roman" w:hAnsi="Times New Roman" w:cs="Times New Roman"/>
        </w:rPr>
        <w:t>pour lesquels</w:t>
      </w:r>
      <w:r w:rsidRPr="0051571F">
        <w:rPr>
          <w:rFonts w:ascii="Times New Roman" w:hAnsi="Times New Roman" w:cs="Times New Roman"/>
        </w:rPr>
        <w:t xml:space="preserve"> l’activité relève de l’audiovisuel, 37 des arts visuels</w:t>
      </w:r>
      <w:r w:rsidRPr="0051571F">
        <w:rPr>
          <w:rStyle w:val="Appelnotedebasdep"/>
          <w:rFonts w:ascii="Times New Roman" w:hAnsi="Times New Roman" w:cs="Times New Roman"/>
        </w:rPr>
        <w:footnoteReference w:id="22"/>
      </w:r>
      <w:r w:rsidRPr="0051571F">
        <w:rPr>
          <w:rFonts w:ascii="Times New Roman" w:hAnsi="Times New Roman" w:cs="Times New Roman"/>
        </w:rPr>
        <w:t xml:space="preserve">(beaux-arts) et 16 des arts de la scène et des festivités (12 groupes de danse, </w:t>
      </w:r>
      <w:r w:rsidRPr="0051571F">
        <w:rPr>
          <w:rFonts w:ascii="Times New Roman" w:hAnsi="Times New Roman" w:cs="Times New Roman"/>
          <w:i/>
          <w:iCs/>
        </w:rPr>
        <w:t>Ori Tahiti</w:t>
      </w:r>
      <w:r w:rsidRPr="0051571F">
        <w:rPr>
          <w:rFonts w:ascii="Times New Roman" w:hAnsi="Times New Roman" w:cs="Times New Roman"/>
        </w:rPr>
        <w:t xml:space="preserve"> et 4 groupes de chant, </w:t>
      </w:r>
      <w:r w:rsidR="007B5511" w:rsidRPr="007B5511">
        <w:rPr>
          <w:rFonts w:ascii="Times New Roman" w:hAnsi="Times New Roman" w:cs="Times New Roman"/>
          <w:i/>
          <w:iCs/>
        </w:rPr>
        <w:t>hīmene</w:t>
      </w:r>
      <w:r w:rsidRPr="0051571F">
        <w:rPr>
          <w:rFonts w:ascii="Times New Roman" w:hAnsi="Times New Roman" w:cs="Times New Roman"/>
        </w:rPr>
        <w:t>)</w:t>
      </w:r>
      <w:r w:rsidR="0094436F">
        <w:rPr>
          <w:rFonts w:ascii="Times New Roman" w:hAnsi="Times New Roman" w:cs="Times New Roman"/>
        </w:rPr>
        <w:t xml:space="preserve">, seuls </w:t>
      </w:r>
      <w:r w:rsidRPr="0051571F">
        <w:rPr>
          <w:rFonts w:ascii="Times New Roman" w:hAnsi="Times New Roman" w:cs="Times New Roman"/>
        </w:rPr>
        <w:t>14 ont répondu aux questionnaires (soit une participation de 25% de la population ciblée</w:t>
      </w:r>
      <w:r w:rsidR="00B475F2">
        <w:rPr>
          <w:rFonts w:ascii="Times New Roman" w:hAnsi="Times New Roman" w:cs="Times New Roman"/>
        </w:rPr>
        <w:t>).</w:t>
      </w:r>
    </w:p>
    <w:p w14:paraId="10BA1949" w14:textId="77777777" w:rsidR="001828BA" w:rsidRPr="0051571F" w:rsidRDefault="001828BA" w:rsidP="00846CFD">
      <w:pPr>
        <w:pStyle w:val="PrformatHTML"/>
        <w:jc w:val="both"/>
        <w:rPr>
          <w:rFonts w:ascii="Times New Roman" w:hAnsi="Times New Roman" w:cs="Times New Roman"/>
          <w:sz w:val="24"/>
          <w:szCs w:val="24"/>
        </w:rPr>
      </w:pPr>
    </w:p>
    <w:p w14:paraId="064E7B0A" w14:textId="34D7A5AB" w:rsidR="00693091" w:rsidRPr="00F07416" w:rsidRDefault="00F127D6" w:rsidP="00846CFD">
      <w:pPr>
        <w:pStyle w:val="Retraitcorpsdetexte2"/>
        <w:adjustRightInd w:val="0"/>
        <w:snapToGrid w:val="0"/>
        <w:spacing w:before="0" w:line="240" w:lineRule="auto"/>
        <w:ind w:firstLine="0"/>
        <w:rPr>
          <w:szCs w:val="24"/>
          <w:u w:val="single"/>
        </w:rPr>
      </w:pPr>
      <w:r w:rsidRPr="0051571F">
        <w:rPr>
          <w:i/>
          <w:iCs/>
          <w:szCs w:val="24"/>
        </w:rPr>
        <w:t>Analyse documentaire</w:t>
      </w:r>
    </w:p>
    <w:p w14:paraId="1D0D8F56" w14:textId="78E6DE2C" w:rsidR="00846CFD" w:rsidRDefault="00846CFD" w:rsidP="00846CFD">
      <w:pPr>
        <w:pStyle w:val="NormalWeb"/>
        <w:spacing w:before="0" w:beforeAutospacing="0" w:after="0" w:afterAutospacing="0"/>
        <w:jc w:val="both"/>
      </w:pPr>
      <w:bookmarkStart w:id="0" w:name="_Toc121818310"/>
      <w:r>
        <w:t xml:space="preserve">L'analyse documentaire s'est </w:t>
      </w:r>
      <w:r w:rsidR="00A02916">
        <w:t>intéressée aux</w:t>
      </w:r>
      <w:r>
        <w:t xml:space="preserve"> textes législatifs encadrant les activités </w:t>
      </w:r>
      <w:r w:rsidR="005A6C13">
        <w:t>des ICC</w:t>
      </w:r>
      <w:r>
        <w:t xml:space="preserve"> ainsi que sur les données statistiques concernant la fréquentation touristique et les budgets des familles en Polynésie française. Cela a permis d'identifier les secteurs les plus affectés, tels que les arts du spectacle, la confection et la gastronomie. Par ailleurs, l'analyse des rapports d'activité des services polynésiens dédiés au développement culturel a permis d'évaluer l'impact quantitatif de la pandémie sur ces secteurs pendant la crise sanitaire et la période de </w:t>
      </w:r>
      <w:r>
        <w:lastRenderedPageBreak/>
        <w:t xml:space="preserve">déconfinement, ainsi que leur situation actuelle. L'étude examine également leur capacité d'adaptation face aux événements, notamment à travers la réinvention, le développement numérique ou l'abandon de certaines activités. </w:t>
      </w:r>
    </w:p>
    <w:p w14:paraId="5D7F65BB" w14:textId="2A646485" w:rsidR="00DA4E00" w:rsidRPr="002C35E2" w:rsidRDefault="00DA4E00" w:rsidP="00846CFD">
      <w:pPr>
        <w:rPr>
          <w:rStyle w:val="y2iqfc"/>
          <w:rFonts w:ascii="Times New Roman" w:eastAsia="Times New Roman" w:hAnsi="Times New Roman" w:cs="Times New Roman"/>
          <w:lang w:eastAsia="fr-FR"/>
        </w:rPr>
      </w:pPr>
    </w:p>
    <w:p w14:paraId="6319F3BB" w14:textId="2B39A518" w:rsidR="00E04E4D" w:rsidRPr="00EC3FD5" w:rsidRDefault="00FF01DE" w:rsidP="006F0AF6">
      <w:pPr>
        <w:pStyle w:val="PrformatHTML"/>
        <w:jc w:val="both"/>
        <w:outlineLvl w:val="1"/>
        <w:rPr>
          <w:rStyle w:val="y2iqfc"/>
          <w:rFonts w:ascii="Times New Roman" w:hAnsi="Times New Roman" w:cs="Times New Roman"/>
          <w:sz w:val="24"/>
          <w:szCs w:val="24"/>
        </w:rPr>
      </w:pPr>
      <w:r w:rsidRPr="00EC3FD5">
        <w:rPr>
          <w:rStyle w:val="y2iqfc"/>
          <w:rFonts w:ascii="Times New Roman" w:hAnsi="Times New Roman" w:cs="Times New Roman"/>
          <w:sz w:val="24"/>
          <w:szCs w:val="24"/>
        </w:rPr>
        <w:t>É</w:t>
      </w:r>
      <w:r w:rsidR="00AC2D10" w:rsidRPr="00EC3FD5">
        <w:rPr>
          <w:rStyle w:val="y2iqfc"/>
          <w:rFonts w:ascii="Times New Roman" w:hAnsi="Times New Roman" w:cs="Times New Roman"/>
          <w:sz w:val="24"/>
          <w:szCs w:val="24"/>
        </w:rPr>
        <w:t>valuation par domaine de l’impact de la pandémie Covid-19 sur les ICC</w:t>
      </w:r>
      <w:bookmarkEnd w:id="0"/>
    </w:p>
    <w:p w14:paraId="75A839F4" w14:textId="77777777" w:rsidR="00AC2D10" w:rsidRPr="0051571F" w:rsidRDefault="00AC2D10" w:rsidP="006F0AF6">
      <w:pPr>
        <w:pStyle w:val="PrformatHTML"/>
        <w:jc w:val="both"/>
        <w:outlineLvl w:val="1"/>
        <w:rPr>
          <w:rStyle w:val="y2iqfc"/>
          <w:rFonts w:ascii="Times New Roman" w:hAnsi="Times New Roman" w:cs="Times New Roman"/>
          <w:sz w:val="24"/>
          <w:szCs w:val="24"/>
        </w:rPr>
      </w:pPr>
    </w:p>
    <w:p w14:paraId="51C42A7E" w14:textId="77777777" w:rsidR="00F734C1" w:rsidRPr="0051571F" w:rsidRDefault="00F734C1" w:rsidP="006F0AF6">
      <w:pPr>
        <w:pStyle w:val="PrformatHTML"/>
        <w:numPr>
          <w:ilvl w:val="0"/>
          <w:numId w:val="24"/>
        </w:numPr>
        <w:jc w:val="both"/>
        <w:outlineLvl w:val="2"/>
        <w:rPr>
          <w:rFonts w:ascii="Times New Roman" w:hAnsi="Times New Roman" w:cs="Times New Roman"/>
          <w:sz w:val="24"/>
          <w:szCs w:val="24"/>
        </w:rPr>
      </w:pPr>
      <w:bookmarkStart w:id="1" w:name="_Toc121818311"/>
      <w:r w:rsidRPr="0051571F">
        <w:rPr>
          <w:rFonts w:ascii="Times New Roman" w:hAnsi="Times New Roman" w:cs="Times New Roman"/>
          <w:sz w:val="24"/>
          <w:szCs w:val="24"/>
        </w:rPr>
        <w:t>Les arts de la scène et des festivités (musique, festivals, manifestations culturelles)</w:t>
      </w:r>
      <w:bookmarkEnd w:id="1"/>
    </w:p>
    <w:p w14:paraId="6D9F107E" w14:textId="77777777" w:rsidR="00F734C1" w:rsidRPr="0051571F" w:rsidRDefault="00F734C1" w:rsidP="006F0AF6">
      <w:pPr>
        <w:rPr>
          <w:rFonts w:ascii="Times New Roman" w:hAnsi="Times New Roman" w:cs="Times New Roman"/>
        </w:rPr>
      </w:pPr>
    </w:p>
    <w:p w14:paraId="6469C1CB" w14:textId="3BD3B2AB" w:rsidR="008146E6" w:rsidRDefault="00F734C1" w:rsidP="008146E6">
      <w:pPr>
        <w:pStyle w:val="NormalWeb"/>
        <w:spacing w:before="0" w:beforeAutospacing="0" w:after="0" w:afterAutospacing="0"/>
        <w:jc w:val="both"/>
      </w:pPr>
      <w:r w:rsidRPr="0051571F">
        <w:t xml:space="preserve">Les arts de la scène et des festivités regroupent l’ensemble des activités (spectacle de danse, de musique, de chants, art oratoire du </w:t>
      </w:r>
      <w:r w:rsidRPr="0051571F">
        <w:rPr>
          <w:i/>
          <w:iCs/>
        </w:rPr>
        <w:t>« </w:t>
      </w:r>
      <w:r w:rsidR="00AA3E55" w:rsidRPr="005920B2">
        <w:rPr>
          <w:i/>
          <w:iCs/>
        </w:rPr>
        <w:t>'ōrero</w:t>
      </w:r>
      <w:r w:rsidRPr="0051571F">
        <w:rPr>
          <w:i/>
          <w:iCs/>
        </w:rPr>
        <w:t> »</w:t>
      </w:r>
      <w:r w:rsidRPr="0051571F">
        <w:t>, théâtre</w:t>
      </w:r>
      <w:r w:rsidR="001B3F70">
        <w:t>, etc.</w:t>
      </w:r>
      <w:r w:rsidRPr="0051571F">
        <w:t>) et des événements culturels (festivals, fêtes populaires, foires</w:t>
      </w:r>
      <w:r w:rsidR="001B3F70">
        <w:t>, etc.</w:t>
      </w:r>
      <w:r w:rsidRPr="0051571F">
        <w:t xml:space="preserve">) qui sont organisés par des professionnels et/ou des amateurs et se déroulent sur le territoire polynésien </w:t>
      </w:r>
      <w:r w:rsidR="001B3F70">
        <w:t>ou</w:t>
      </w:r>
      <w:r w:rsidRPr="0051571F">
        <w:t xml:space="preserve"> peuvent s’exporter à l’échelle internationale. De nombreuses manifestations attestent de la part importante dédiée aux arts de la scène et du spectacle</w:t>
      </w:r>
      <w:r w:rsidR="004D3449">
        <w:t xml:space="preserve"> </w:t>
      </w:r>
      <w:r w:rsidRPr="0051571F">
        <w:t xml:space="preserve">et de leurs valeurs marchandes et commerciales. On note des événements importants dans le calendrier des festivités comme le </w:t>
      </w:r>
      <w:r w:rsidRPr="0051571F">
        <w:rPr>
          <w:i/>
          <w:iCs/>
        </w:rPr>
        <w:t>Heiva i Tahiti</w:t>
      </w:r>
      <w:r w:rsidRPr="0051571F">
        <w:rPr>
          <w:rStyle w:val="Appelnotedebasdep"/>
          <w:i/>
          <w:iCs/>
        </w:rPr>
        <w:footnoteReference w:id="23"/>
      </w:r>
      <w:r w:rsidR="004D3449">
        <w:t>ou encore</w:t>
      </w:r>
      <w:r w:rsidRPr="0051571F">
        <w:t xml:space="preserve"> le </w:t>
      </w:r>
      <w:r w:rsidRPr="0051571F">
        <w:rPr>
          <w:i/>
          <w:iCs/>
        </w:rPr>
        <w:t>Hura Tapairu</w:t>
      </w:r>
      <w:r w:rsidRPr="0051571F">
        <w:rPr>
          <w:rStyle w:val="Appelnotedebasdep"/>
          <w:i/>
          <w:iCs/>
        </w:rPr>
        <w:footnoteReference w:id="24"/>
      </w:r>
      <w:r w:rsidRPr="0051571F">
        <w:t>où se produisent sur scène des danseurs, chorégraphes, auteurs, musiciens ou encore des chanteurs traditionnels.</w:t>
      </w:r>
    </w:p>
    <w:p w14:paraId="6B679F50" w14:textId="77386AFA" w:rsidR="00836078" w:rsidRDefault="008146E6" w:rsidP="00836078">
      <w:pPr>
        <w:pStyle w:val="NormalWeb"/>
        <w:spacing w:before="0" w:beforeAutospacing="0" w:after="0" w:afterAutospacing="0"/>
        <w:jc w:val="both"/>
      </w:pPr>
      <w:r>
        <w:t xml:space="preserve">Entre 2019 et 2022, la Polynésie française a enregistré une augmentation du nombre d'artistes, avec 195 auteurs et compositeurs en 2022 contre 182 en 2019, ainsi qu'une hausse des professionnels du spectacle vivant, passant de 122 à 147. Ces chiffres concernent les personnes patentées dans le secteur du spectacle. En ce qui concerne la danse tahitienne, bien que les données sur les groupes de danse soient limitées, l'anthropologue Marion Fayn a estimé en 2017 qu'environ 56 000 personnes pratiquent le </w:t>
      </w:r>
      <w:r w:rsidRPr="007A5043">
        <w:rPr>
          <w:i/>
          <w:iCs/>
        </w:rPr>
        <w:t>‘Ori</w:t>
      </w:r>
      <w:r>
        <w:t xml:space="preserve"> dans le monde, dont 5 000 dans le Pacifique, 4 000 en Europe, 12 000 aux États-Unis, 10 000 en Amérique latine et 25 000 au Japon. Le </w:t>
      </w:r>
      <w:r w:rsidRPr="004B07E3">
        <w:rPr>
          <w:i/>
          <w:iCs/>
        </w:rPr>
        <w:t>‘Ori</w:t>
      </w:r>
      <w:r>
        <w:t>, qui incarne des éléments culturels et traditionnels, s'est étendu au-delà des frontières polynésiennes, influençant d'autres communautés à l'international.</w:t>
      </w:r>
    </w:p>
    <w:p w14:paraId="4A6CF2A7" w14:textId="055C17A0" w:rsidR="00B87C46" w:rsidRDefault="00B87C46" w:rsidP="00836078">
      <w:pPr>
        <w:pStyle w:val="NormalWeb"/>
        <w:spacing w:before="0" w:beforeAutospacing="0" w:after="0" w:afterAutospacing="0"/>
        <w:jc w:val="both"/>
      </w:pPr>
      <w:r>
        <w:t xml:space="preserve">La Polynésie française dispose de peu d'espaces spécifiquement consacrés aux spectacles. Les groupes de danse doivent collaborer avec les municipalités pour trouver des lieux où ils peuvent répéter leurs chorégraphies, chants et musiques. Le marae </w:t>
      </w:r>
      <w:r w:rsidRPr="00F25D21">
        <w:rPr>
          <w:i/>
          <w:iCs/>
        </w:rPr>
        <w:t>'Ārahurahu</w:t>
      </w:r>
      <w:r>
        <w:t xml:space="preserve"> à Paea et le </w:t>
      </w:r>
      <w:r w:rsidRPr="00392EC7">
        <w:rPr>
          <w:i/>
          <w:iCs/>
        </w:rPr>
        <w:t>paepae Anua</w:t>
      </w:r>
      <w:r>
        <w:t xml:space="preserve"> dans les jardins du Musée de Tahiti et des îles sont des sites historiques et culturels qui accueillent régulièrement des événements, tels que des danses et des sports traditionnels, destinés au public polynésien ainsi qu'à un public national et international. Malgré la présence de ces espaces dédiés à l'expression artistique et culturelle, peu d'endroits sont capables d'accueillir des événements d'envergure en raison du manque d'espace et d'équipements audiovisuels. La Maison de la Culture – </w:t>
      </w:r>
      <w:r w:rsidRPr="00DA1EC7">
        <w:rPr>
          <w:i/>
          <w:iCs/>
        </w:rPr>
        <w:t>Te Fare Tauhiti Nui</w:t>
      </w:r>
      <w:r>
        <w:t xml:space="preserve"> (TFTN), fondée en 1980, répond à ce besoin. Son objectif principal est d'organiser et de participer à des événements culturels ou artistiques, ainsi qu'à des fêtes populaires, spectacles, rencontres et colloques, tant en Polynésie française qu'à l'international. TFTN est un lieu bien équipé et spacieux, apte à recevoir des manifestations culturelles et artistiques de grande ampleur tout au long de l'année.</w:t>
      </w:r>
    </w:p>
    <w:p w14:paraId="2E8B6D58" w14:textId="75744A01" w:rsidR="001E5CF4" w:rsidRDefault="00365DFA" w:rsidP="001E5CF4">
      <w:pPr>
        <w:pStyle w:val="NormalWeb"/>
        <w:spacing w:before="0" w:beforeAutospacing="0" w:after="0" w:afterAutospacing="0"/>
        <w:jc w:val="both"/>
      </w:pPr>
      <w:r>
        <w:t>L</w:t>
      </w:r>
      <w:r w:rsidR="00836078">
        <w:t>'arrêté n°888 CM du 7 juillet 2016, en application de la loi n°2016-18 du 19 mai 2016, établit le statut d'artiste à travers la création d'une carte d'artiste professionnel.</w:t>
      </w:r>
      <w:r w:rsidR="00CF6794" w:rsidRPr="0051571F">
        <w:rPr>
          <w:rStyle w:val="Appelnotedebasdep"/>
          <w:i/>
          <w:iCs/>
        </w:rPr>
        <w:footnoteReference w:id="25"/>
      </w:r>
      <w:r w:rsidR="00836078">
        <w:t xml:space="preserve"> Cette carte, délivrée par le </w:t>
      </w:r>
      <w:r w:rsidR="002A7841">
        <w:t>m</w:t>
      </w:r>
      <w:r w:rsidR="00836078">
        <w:t xml:space="preserve">inistère de la </w:t>
      </w:r>
      <w:r w:rsidR="00FE3499">
        <w:t>C</w:t>
      </w:r>
      <w:r w:rsidR="00836078">
        <w:t>ulture</w:t>
      </w:r>
      <w:r w:rsidR="00403833">
        <w:t xml:space="preserve"> </w:t>
      </w:r>
      <w:r w:rsidR="00836078">
        <w:t xml:space="preserve">permet aux artistes de bénéficier d'une aide à la création artistique </w:t>
      </w:r>
      <w:r w:rsidR="00836078">
        <w:lastRenderedPageBreak/>
        <w:t xml:space="preserve">et littéraire. Pour l'obtenir, l'artiste doit soumettre une demande avec des justificatifs et prouver son engagement dans le domaine artistique. La carte est valable cinq ans et se renouvelle sous certaines conditions. Ce dispositif permet au gouvernement de mieux comprendre les besoins du secteur artistique et de professionnaliser les artistes, contribuant ainsi au développement économique local. Les détenteurs de la carte peuvent également bénéficier d'une aide individuelle, d'exonérations fiscales et d'un accès à des espaces de création comme le </w:t>
      </w:r>
      <w:r w:rsidR="00836078" w:rsidRPr="0093565A">
        <w:rPr>
          <w:i/>
          <w:iCs/>
        </w:rPr>
        <w:t>Hamani Lab</w:t>
      </w:r>
      <w:r w:rsidR="00836078">
        <w:t>, géré par une association qui favorise les événements culturels.</w:t>
      </w:r>
    </w:p>
    <w:p w14:paraId="11CC935D" w14:textId="038D1978" w:rsidR="00F734C1" w:rsidRDefault="00F734C1" w:rsidP="006F0AF6">
      <w:pPr>
        <w:jc w:val="both"/>
        <w:rPr>
          <w:rFonts w:ascii="Times New Roman" w:hAnsi="Times New Roman" w:cs="Times New Roman"/>
        </w:rPr>
      </w:pPr>
    </w:p>
    <w:p w14:paraId="294CD1F2" w14:textId="77777777" w:rsidR="002C4034" w:rsidRPr="00BE44DC" w:rsidRDefault="00D53D83" w:rsidP="002C4034">
      <w:pPr>
        <w:jc w:val="both"/>
        <w:rPr>
          <w:rFonts w:ascii="Times New Roman" w:hAnsi="Times New Roman" w:cs="Times New Roman"/>
          <w:i/>
          <w:iCs/>
        </w:rPr>
      </w:pPr>
      <w:r w:rsidRPr="00BE44DC">
        <w:rPr>
          <w:rFonts w:ascii="Times New Roman" w:hAnsi="Times New Roman" w:cs="Times New Roman"/>
          <w:i/>
          <w:iCs/>
        </w:rPr>
        <w:t>Étude de cas n°1</w:t>
      </w:r>
    </w:p>
    <w:p w14:paraId="56573D87" w14:textId="77777777" w:rsidR="002C4034" w:rsidRDefault="002C4034" w:rsidP="002C4034">
      <w:pPr>
        <w:jc w:val="both"/>
        <w:rPr>
          <w:rFonts w:ascii="Times New Roman" w:hAnsi="Times New Roman" w:cs="Times New Roman"/>
        </w:rPr>
      </w:pPr>
    </w:p>
    <w:p w14:paraId="101E4099" w14:textId="07FA72B9" w:rsidR="002C4034" w:rsidRPr="009B44CE" w:rsidRDefault="002C4034" w:rsidP="002C4034">
      <w:pPr>
        <w:jc w:val="both"/>
        <w:rPr>
          <w:rFonts w:ascii="Times New Roman" w:hAnsi="Times New Roman" w:cs="Times New Roman"/>
        </w:rPr>
      </w:pPr>
      <w:r w:rsidRPr="009B44CE">
        <w:rPr>
          <w:rFonts w:ascii="Times New Roman" w:hAnsi="Times New Roman" w:cs="Times New Roman"/>
        </w:rPr>
        <w:t>En 2021, TFTN a organisé 6 événements, une augmentation par rapport aux 4 événements de 2020,</w:t>
      </w:r>
      <w:r w:rsidR="009842A1" w:rsidRPr="0051571F">
        <w:rPr>
          <w:rStyle w:val="Appelnotedebasdep"/>
        </w:rPr>
        <w:footnoteReference w:id="26"/>
      </w:r>
      <w:r w:rsidRPr="009B44CE">
        <w:rPr>
          <w:rFonts w:ascii="Times New Roman" w:hAnsi="Times New Roman" w:cs="Times New Roman"/>
        </w:rPr>
        <w:t xml:space="preserve"> année marquée par la crise sanitaire. Parmi ces événements, on trouve le 4ème </w:t>
      </w:r>
      <w:r w:rsidRPr="008B42D7">
        <w:rPr>
          <w:rFonts w:ascii="Times New Roman" w:hAnsi="Times New Roman" w:cs="Times New Roman"/>
          <w:i/>
          <w:iCs/>
        </w:rPr>
        <w:t>Heiva Taure’a</w:t>
      </w:r>
      <w:r w:rsidRPr="009B44CE">
        <w:rPr>
          <w:rFonts w:ascii="Times New Roman" w:hAnsi="Times New Roman" w:cs="Times New Roman"/>
        </w:rPr>
        <w:t xml:space="preserve"> (11-13 mars), le 3ème concert </w:t>
      </w:r>
      <w:r w:rsidRPr="00E8406B">
        <w:rPr>
          <w:rFonts w:ascii="Times New Roman" w:hAnsi="Times New Roman" w:cs="Times New Roman"/>
          <w:i/>
          <w:iCs/>
        </w:rPr>
        <w:t>Tuiro’o</w:t>
      </w:r>
      <w:r w:rsidRPr="009B44CE">
        <w:rPr>
          <w:rFonts w:ascii="Times New Roman" w:hAnsi="Times New Roman" w:cs="Times New Roman"/>
        </w:rPr>
        <w:t xml:space="preserve"> (24 avril), </w:t>
      </w:r>
      <w:r w:rsidR="00C16CA7">
        <w:rPr>
          <w:rFonts w:ascii="Times New Roman" w:hAnsi="Times New Roman" w:cs="Times New Roman"/>
        </w:rPr>
        <w:t>« </w:t>
      </w:r>
      <w:r w:rsidRPr="009B44CE">
        <w:rPr>
          <w:rFonts w:ascii="Times New Roman" w:hAnsi="Times New Roman" w:cs="Times New Roman"/>
        </w:rPr>
        <w:t>Culture à l’affiche</w:t>
      </w:r>
      <w:r w:rsidR="00C16CA7">
        <w:rPr>
          <w:rFonts w:ascii="Times New Roman" w:hAnsi="Times New Roman" w:cs="Times New Roman"/>
        </w:rPr>
        <w:t> »</w:t>
      </w:r>
      <w:r w:rsidRPr="009B44CE">
        <w:rPr>
          <w:rFonts w:ascii="Times New Roman" w:hAnsi="Times New Roman" w:cs="Times New Roman"/>
        </w:rPr>
        <w:t xml:space="preserve"> (18 mars - 30 avril), le 27ème </w:t>
      </w:r>
      <w:r w:rsidRPr="002763FC">
        <w:rPr>
          <w:rFonts w:ascii="Times New Roman" w:hAnsi="Times New Roman" w:cs="Times New Roman"/>
          <w:i/>
          <w:iCs/>
        </w:rPr>
        <w:t>Heiva</w:t>
      </w:r>
      <w:r w:rsidRPr="009B44CE">
        <w:rPr>
          <w:rFonts w:ascii="Times New Roman" w:hAnsi="Times New Roman" w:cs="Times New Roman"/>
        </w:rPr>
        <w:t xml:space="preserve"> des écoles de ‘ori tahiti (2-13 juin), le festival </w:t>
      </w:r>
      <w:r w:rsidRPr="002763FC">
        <w:rPr>
          <w:rFonts w:ascii="Times New Roman" w:hAnsi="Times New Roman" w:cs="Times New Roman"/>
          <w:i/>
          <w:iCs/>
        </w:rPr>
        <w:t>Tahiti ti’a mai</w:t>
      </w:r>
      <w:r w:rsidRPr="009B44CE">
        <w:rPr>
          <w:rFonts w:ascii="Times New Roman" w:hAnsi="Times New Roman" w:cs="Times New Roman"/>
        </w:rPr>
        <w:t xml:space="preserve"> (1-10 juillet) et le festival Haere mai (13 novembre - 4 décembre). Les données montrent un impact significatif de la pandémie sur la fréquentation. Par exemple, le 27</w:t>
      </w:r>
      <w:r w:rsidR="00E377D9">
        <w:rPr>
          <w:rFonts w:ascii="Times New Roman" w:hAnsi="Times New Roman" w:cs="Times New Roman"/>
        </w:rPr>
        <w:t>ème</w:t>
      </w:r>
      <w:r w:rsidRPr="009B44CE">
        <w:rPr>
          <w:rFonts w:ascii="Times New Roman" w:hAnsi="Times New Roman" w:cs="Times New Roman"/>
        </w:rPr>
        <w:t xml:space="preserve"> </w:t>
      </w:r>
      <w:r w:rsidRPr="00E377D9">
        <w:rPr>
          <w:rFonts w:ascii="Times New Roman" w:hAnsi="Times New Roman" w:cs="Times New Roman"/>
          <w:i/>
          <w:iCs/>
        </w:rPr>
        <w:t>Heiva</w:t>
      </w:r>
      <w:r w:rsidRPr="009B44CE">
        <w:rPr>
          <w:rFonts w:ascii="Times New Roman" w:hAnsi="Times New Roman" w:cs="Times New Roman"/>
        </w:rPr>
        <w:t xml:space="preserve"> des écoles a attiré 6 811 spectateurs lors de 20 séances, une baisse par rapport aux 8 716 spectateurs en 2018 et 8 974 en 2019. En 2020, seulement 10 séances avaient attiré 6 080 spectateurs. Cependant, la baisse de fréquentation s'explique également par l'augmentation de la consommation numérique, avec 5 000 spectateurs ayant suivi les événements en ligne. L'adaptation numérique a permis à </w:t>
      </w:r>
      <w:r w:rsidR="00043129">
        <w:rPr>
          <w:rFonts w:ascii="Times New Roman" w:hAnsi="Times New Roman" w:cs="Times New Roman"/>
        </w:rPr>
        <w:t>TFTN</w:t>
      </w:r>
      <w:r w:rsidRPr="009B44CE">
        <w:rPr>
          <w:rFonts w:ascii="Times New Roman" w:hAnsi="Times New Roman" w:cs="Times New Roman"/>
        </w:rPr>
        <w:t xml:space="preserve"> de continuer à proposer des spectacles malgré la crise, mais soulève des questions sur les nouvelles façons de consommer la culture.</w:t>
      </w:r>
    </w:p>
    <w:p w14:paraId="3EF6711E" w14:textId="64B20033" w:rsidR="00743A2A" w:rsidRDefault="00743A2A" w:rsidP="006F0AF6">
      <w:pPr>
        <w:rPr>
          <w:rFonts w:ascii="Times New Roman" w:hAnsi="Times New Roman" w:cs="Times New Roman"/>
        </w:rPr>
      </w:pPr>
    </w:p>
    <w:p w14:paraId="545329EC" w14:textId="77777777" w:rsidR="008B21C1" w:rsidRPr="00A5314B" w:rsidRDefault="00BE44DC" w:rsidP="008B21C1">
      <w:pPr>
        <w:rPr>
          <w:rFonts w:ascii="Times New Roman" w:hAnsi="Times New Roman" w:cs="Times New Roman"/>
          <w:i/>
          <w:iCs/>
        </w:rPr>
      </w:pPr>
      <w:r w:rsidRPr="00A5314B">
        <w:rPr>
          <w:rFonts w:ascii="Times New Roman" w:hAnsi="Times New Roman" w:cs="Times New Roman"/>
          <w:i/>
          <w:iCs/>
        </w:rPr>
        <w:t>Étude de cas n°2</w:t>
      </w:r>
      <w:bookmarkStart w:id="2" w:name="_Toc121818312"/>
    </w:p>
    <w:p w14:paraId="5E462966" w14:textId="77777777" w:rsidR="008B21C1" w:rsidRDefault="008B21C1" w:rsidP="008B21C1"/>
    <w:p w14:paraId="6F64BB77" w14:textId="0B62DE06" w:rsidR="008B21C1" w:rsidRPr="008B21C1" w:rsidRDefault="008B21C1" w:rsidP="008B21C1">
      <w:pPr>
        <w:jc w:val="both"/>
        <w:rPr>
          <w:rFonts w:ascii="Times New Roman" w:hAnsi="Times New Roman" w:cs="Times New Roman"/>
        </w:rPr>
      </w:pPr>
      <w:r w:rsidRPr="008B21C1">
        <w:rPr>
          <w:rFonts w:ascii="Times New Roman" w:hAnsi="Times New Roman" w:cs="Times New Roman"/>
        </w:rPr>
        <w:t xml:space="preserve">Le Musée de Tahiti et des îles est dédié à la collecte, la conservation et la valorisation des collections océaniennes. Il mène des recherches sur le patrimoine culturel matériel et immatériel pour mieux le restituer au public. La pandémie a eu un impact limité sur son fonctionnement habituel, bien que les chantiers de rénovation aient été ralentis par la fermeture des frontières et les problèmes d'approvisionnement, entraînant un report de l'ouverture des nouveaux locaux au premier trimestre 2023. Pendant le confinement, le Musée a lancé l'exposition </w:t>
      </w:r>
      <w:r w:rsidRPr="008231F9">
        <w:rPr>
          <w:rFonts w:ascii="Times New Roman" w:hAnsi="Times New Roman" w:cs="Times New Roman"/>
          <w:i/>
          <w:iCs/>
        </w:rPr>
        <w:t>Fa’aiho ta’u tufa’a</w:t>
      </w:r>
      <w:r w:rsidRPr="008B21C1">
        <w:rPr>
          <w:rFonts w:ascii="Times New Roman" w:hAnsi="Times New Roman" w:cs="Times New Roman"/>
        </w:rPr>
        <w:t xml:space="preserve">, qui a permis à 22 artistes contemporains de créer des œuvres sur le passé polynésien. Cette exposition a également été accessible virtuellement aux groupes scolaires, leur permettant de découvrir les œuvres à distance. Soutenue par le ministre de la Culture et l'État dans le cadre du programme </w:t>
      </w:r>
      <w:r w:rsidR="00184D12">
        <w:rPr>
          <w:rFonts w:ascii="Times New Roman" w:hAnsi="Times New Roman" w:cs="Times New Roman"/>
        </w:rPr>
        <w:t>« </w:t>
      </w:r>
      <w:r w:rsidRPr="008B21C1">
        <w:rPr>
          <w:rFonts w:ascii="Times New Roman" w:hAnsi="Times New Roman" w:cs="Times New Roman"/>
        </w:rPr>
        <w:t>Été culturel</w:t>
      </w:r>
      <w:r w:rsidR="00184D12">
        <w:rPr>
          <w:rFonts w:ascii="Times New Roman" w:hAnsi="Times New Roman" w:cs="Times New Roman"/>
        </w:rPr>
        <w:t> »</w:t>
      </w:r>
      <w:r w:rsidRPr="008B21C1">
        <w:rPr>
          <w:rFonts w:ascii="Times New Roman" w:hAnsi="Times New Roman" w:cs="Times New Roman"/>
        </w:rPr>
        <w:t xml:space="preserve">, cette initiative a rendu le Musée plus accessible. De plus, le Musée a accueilli des artistes et des groupes de danse dans ses jardins, en réponse aux restrictions sanitaires, intégrant ainsi les arts contemporains dans ses activités. Cette crise a non seulement élargi l'accès au Musée, mais a également </w:t>
      </w:r>
      <w:r w:rsidR="00674F17">
        <w:rPr>
          <w:rFonts w:ascii="Times New Roman" w:hAnsi="Times New Roman" w:cs="Times New Roman"/>
        </w:rPr>
        <w:t>augmenté</w:t>
      </w:r>
      <w:r w:rsidRPr="008B21C1">
        <w:rPr>
          <w:rFonts w:ascii="Times New Roman" w:hAnsi="Times New Roman" w:cs="Times New Roman"/>
        </w:rPr>
        <w:t xml:space="preserve"> sa visibilité au-delà de la Polynésie</w:t>
      </w:r>
      <w:r w:rsidR="00B6313F">
        <w:rPr>
          <w:rFonts w:ascii="Times New Roman" w:hAnsi="Times New Roman" w:cs="Times New Roman"/>
        </w:rPr>
        <w:t xml:space="preserve"> française</w:t>
      </w:r>
      <w:r w:rsidRPr="008B21C1">
        <w:rPr>
          <w:rFonts w:ascii="Times New Roman" w:hAnsi="Times New Roman" w:cs="Times New Roman"/>
        </w:rPr>
        <w:t>.</w:t>
      </w:r>
    </w:p>
    <w:p w14:paraId="5E79E39E" w14:textId="74311E2B" w:rsidR="00F03858" w:rsidRDefault="00F03858">
      <w:pPr>
        <w:rPr>
          <w:rFonts w:ascii="Times New Roman" w:eastAsia="Times New Roman" w:hAnsi="Times New Roman" w:cs="Times New Roman"/>
          <w:lang w:eastAsia="fr-FR"/>
        </w:rPr>
      </w:pPr>
    </w:p>
    <w:p w14:paraId="53B4A634" w14:textId="577FD777" w:rsidR="00F734C1" w:rsidRPr="0051571F" w:rsidRDefault="00F734C1" w:rsidP="006F0AF6">
      <w:pPr>
        <w:pStyle w:val="PrformatHTML"/>
        <w:numPr>
          <w:ilvl w:val="0"/>
          <w:numId w:val="24"/>
        </w:numPr>
        <w:jc w:val="both"/>
        <w:outlineLvl w:val="2"/>
        <w:rPr>
          <w:rFonts w:ascii="Times New Roman" w:hAnsi="Times New Roman" w:cs="Times New Roman"/>
          <w:sz w:val="24"/>
          <w:szCs w:val="24"/>
        </w:rPr>
      </w:pPr>
      <w:r w:rsidRPr="0051571F">
        <w:rPr>
          <w:rFonts w:ascii="Times New Roman" w:hAnsi="Times New Roman" w:cs="Times New Roman"/>
          <w:sz w:val="24"/>
          <w:szCs w:val="24"/>
        </w:rPr>
        <w:t>Les arts visuels et artisanats (beaux-arts, photographie, artisanat)</w:t>
      </w:r>
      <w:bookmarkEnd w:id="2"/>
    </w:p>
    <w:p w14:paraId="5458F13B" w14:textId="77777777" w:rsidR="00F734C1" w:rsidRPr="0051571F" w:rsidRDefault="00F734C1" w:rsidP="006F0AF6">
      <w:pPr>
        <w:contextualSpacing/>
        <w:jc w:val="both"/>
        <w:rPr>
          <w:rFonts w:ascii="Times New Roman" w:hAnsi="Times New Roman" w:cs="Times New Roman"/>
        </w:rPr>
      </w:pPr>
    </w:p>
    <w:p w14:paraId="2562FAA5" w14:textId="43DFBAD8" w:rsidR="00470E41" w:rsidRDefault="00F734C1" w:rsidP="00470E41">
      <w:pPr>
        <w:pStyle w:val="NormalWeb"/>
        <w:spacing w:before="0" w:beforeAutospacing="0" w:after="0" w:afterAutospacing="0"/>
        <w:jc w:val="both"/>
      </w:pPr>
      <w:r w:rsidRPr="0051571F">
        <w:t xml:space="preserve">Les arts visuels et l’artisanat regroupent toutes les activités en lien avec la création d’œuvres à caractère visuel et artistique (peinture, dessin, sculpture, artisanat, photographie). L’artisanat intègre </w:t>
      </w:r>
      <w:r w:rsidRPr="0051571F">
        <w:rPr>
          <w:i/>
          <w:iCs/>
        </w:rPr>
        <w:t>« les produits fabriqués par des artisans, soit entièrement à la main, soit à l’aide d’outils à main ou même de moyens mécaniques, pourvu que la contribution manuelle directe de l’artisan demeure la composante la plus importante du produit fini. »</w:t>
      </w:r>
      <w:r w:rsidRPr="0051571F">
        <w:rPr>
          <w:rStyle w:val="Appelnotedebasdep"/>
        </w:rPr>
        <w:footnoteReference w:id="27"/>
      </w:r>
      <w:r w:rsidRPr="0051571F">
        <w:t xml:space="preserve"> Selon les matériaux </w:t>
      </w:r>
      <w:r w:rsidRPr="0051571F">
        <w:lastRenderedPageBreak/>
        <w:t>artisanaux employés dans la confection d’un produit traditionnel ou contemporain comme la vannerie, le cuir, le métal, le textile, la pierre, le bois, l’os, la nacre ou encore le verre d’une part</w:t>
      </w:r>
      <w:r w:rsidR="00C34836">
        <w:t xml:space="preserve"> </w:t>
      </w:r>
      <w:r w:rsidRPr="0051571F">
        <w:t xml:space="preserve">et, d’autre part, selon les techniques et technologies utilisées, des catégories dans le champ de l’artisanat sont identifiées. </w:t>
      </w:r>
    </w:p>
    <w:p w14:paraId="14798D6F" w14:textId="59604D30" w:rsidR="00470E41" w:rsidRDefault="00470E41" w:rsidP="00470E41">
      <w:pPr>
        <w:pStyle w:val="NormalWeb"/>
        <w:spacing w:before="0" w:beforeAutospacing="0" w:after="0" w:afterAutospacing="0"/>
        <w:jc w:val="both"/>
      </w:pPr>
      <w:r>
        <w:t>En 2004, Olivier Ginolin a étudié l'artisanat traditionnel en Polynésie française, soulignant son évolution depuis 1980, où il est passé d'une activité domestique à un secteur économique significatif. Environ 10 000 artisans étaient recensés, grâce à l'essor du tourisme et à une politique culturelle valorisant l'artisanat. Ce secteur est devenu essentiel pour l'économie locale, soutenu par des mesures favorisant la professionnalisation des artisans. En 2021, le rapport de l'IEOM a indiqué que, malgré une baisse de la fréquentation touristique, l'artisanat avait réussi à organiser des événements. La CCISM a recensé 11 000 entreprises artisanales, majoritairement dans les secteurs de l'hygiène et du bâtiment, rendant difficile l'évaluation précise du nombre d'artisans traditionnels. En effet, beaucoup exercent au sein d'associations familiales sans patente, ce qui complique leur recensement.</w:t>
      </w:r>
      <w:r w:rsidR="0004625A">
        <w:t xml:space="preserve"> </w:t>
      </w:r>
      <w:r>
        <w:t>L'artisanat est crucial pour les revenus des habitants des îles, et des régulations ont été mises en place pour organiser ce secteur. À la fin de 2021, des textes de loi ont été proposés pour définir le statut des artisans et promouvoir le développement de l'artisanat. Malgré les défis de la crise sanitaire, l'artisanat reste un pilier des industries culturelles et créatives en Polynésie, avec des initiatives pour mesurer l'impact de la pandémie et soutenir la continuité des activités artisanales.</w:t>
      </w:r>
    </w:p>
    <w:p w14:paraId="203C605D" w14:textId="5C06A1E1" w:rsidR="00906597" w:rsidRDefault="00906597" w:rsidP="00DA04AC">
      <w:pPr>
        <w:contextualSpacing/>
        <w:jc w:val="both"/>
        <w:rPr>
          <w:rStyle w:val="y2iqfc"/>
          <w:rFonts w:ascii="Times New Roman" w:hAnsi="Times New Roman" w:cs="Times New Roman"/>
        </w:rPr>
      </w:pPr>
    </w:p>
    <w:p w14:paraId="057D267C" w14:textId="180C579E" w:rsidR="007629A5" w:rsidRPr="00BD4BE7" w:rsidRDefault="007629A5" w:rsidP="00DA04AC">
      <w:pPr>
        <w:contextualSpacing/>
        <w:jc w:val="both"/>
        <w:rPr>
          <w:rStyle w:val="y2iqfc"/>
          <w:rFonts w:ascii="Times New Roman" w:hAnsi="Times New Roman" w:cs="Times New Roman"/>
          <w:i/>
          <w:iCs/>
        </w:rPr>
      </w:pPr>
      <w:r w:rsidRPr="00BD4BE7">
        <w:rPr>
          <w:rStyle w:val="y2iqfc"/>
          <w:rFonts w:ascii="Times New Roman" w:hAnsi="Times New Roman" w:cs="Times New Roman"/>
          <w:i/>
          <w:iCs/>
        </w:rPr>
        <w:t>Étude de cas n°1</w:t>
      </w:r>
    </w:p>
    <w:p w14:paraId="76B80F4B" w14:textId="77777777" w:rsidR="00DA04AC" w:rsidRDefault="00DA04AC" w:rsidP="00DA04AC">
      <w:pPr>
        <w:pStyle w:val="NormalWeb"/>
        <w:spacing w:before="0" w:beforeAutospacing="0" w:after="0" w:afterAutospacing="0"/>
        <w:jc w:val="both"/>
      </w:pPr>
    </w:p>
    <w:p w14:paraId="168E7B7A" w14:textId="1F3A21A1" w:rsidR="00DA04AC" w:rsidRDefault="00DA04AC" w:rsidP="00DA04AC">
      <w:pPr>
        <w:pStyle w:val="NormalWeb"/>
        <w:spacing w:before="0" w:beforeAutospacing="0" w:after="0" w:afterAutospacing="0"/>
        <w:jc w:val="both"/>
      </w:pPr>
      <w:r>
        <w:t xml:space="preserve">Une collecte de données a été </w:t>
      </w:r>
      <w:r w:rsidR="00A8149D">
        <w:t>menée</w:t>
      </w:r>
      <w:r>
        <w:t xml:space="preserve"> lors du 19ème Salon des Australes, un événement culturel et commercial réunissant 44 artisans, commerçants et créateurs de l'archipel des Australes. Cette manifestation a mis en avant leur savoir-faire à travers des objets artisanaux, ainsi que les techniques utilisées avec des matières premières comme le </w:t>
      </w:r>
      <w:r w:rsidRPr="009531C0">
        <w:rPr>
          <w:i/>
          <w:iCs/>
        </w:rPr>
        <w:t>fara</w:t>
      </w:r>
      <w:r>
        <w:t>, le bois et les coquillages. Quatre responsables des fédérations représentant les îles de Raivavae, Rimatara, Rapa et Tubuai ont été interrogés. Aucun des artisans présents n'était patenté, mais tous faisaient partie d'une association coordonnée par le comité des Australes. Papeete est identifié comme le principal marché pour la vente de ces produits et passer par Tahiti est considéré comme une étape essentielle pour les artisans qui manquent de ressources pour développer leur activité de manière autonome.</w:t>
      </w:r>
    </w:p>
    <w:p w14:paraId="2A233A29" w14:textId="77777777" w:rsidR="00F734C1" w:rsidRPr="0051571F" w:rsidRDefault="00F734C1" w:rsidP="00DA04AC">
      <w:pPr>
        <w:pStyle w:val="NormalWeb"/>
        <w:spacing w:before="0" w:beforeAutospacing="0" w:after="0" w:afterAutospacing="0"/>
        <w:jc w:val="both"/>
      </w:pPr>
    </w:p>
    <w:p w14:paraId="247B0113" w14:textId="77777777" w:rsidR="00F734C1" w:rsidRPr="0051571F" w:rsidRDefault="00F734C1" w:rsidP="006F0AF6">
      <w:pPr>
        <w:pStyle w:val="NormalWeb"/>
        <w:spacing w:before="0" w:beforeAutospacing="0" w:after="0" w:afterAutospacing="0"/>
        <w:jc w:val="both"/>
      </w:pPr>
      <w:r w:rsidRPr="0051571F">
        <w:t xml:space="preserve">Selon E. </w:t>
      </w:r>
    </w:p>
    <w:p w14:paraId="76970955" w14:textId="7729D756" w:rsidR="00F734C1" w:rsidRPr="0051571F" w:rsidRDefault="00F734C1" w:rsidP="006F0AF6">
      <w:pPr>
        <w:pBdr>
          <w:left w:val="single" w:sz="4" w:space="4" w:color="auto"/>
        </w:pBdr>
        <w:ind w:left="567"/>
        <w:jc w:val="both"/>
        <w:rPr>
          <w:rFonts w:ascii="Times New Roman" w:hAnsi="Times New Roman" w:cs="Times New Roman"/>
          <w:i/>
          <w:iCs/>
        </w:rPr>
      </w:pPr>
      <w:r w:rsidRPr="0051571F">
        <w:rPr>
          <w:rFonts w:ascii="Times New Roman" w:hAnsi="Times New Roman" w:cs="Times New Roman"/>
          <w:i/>
          <w:iCs/>
        </w:rPr>
        <w:t xml:space="preserve">« C’est ici </w:t>
      </w:r>
      <w:r w:rsidRPr="0051571F">
        <w:rPr>
          <w:rFonts w:ascii="Times New Roman" w:hAnsi="Times New Roman" w:cs="Times New Roman"/>
        </w:rPr>
        <w:t xml:space="preserve">(Tahiti) </w:t>
      </w:r>
      <w:r w:rsidRPr="0051571F">
        <w:rPr>
          <w:rFonts w:ascii="Times New Roman" w:hAnsi="Times New Roman" w:cs="Times New Roman"/>
          <w:i/>
          <w:iCs/>
        </w:rPr>
        <w:t xml:space="preserve">qu’on vend le plus. </w:t>
      </w:r>
      <w:r w:rsidR="00157CC0">
        <w:rPr>
          <w:rFonts w:ascii="Times New Roman" w:hAnsi="Times New Roman" w:cs="Times New Roman"/>
          <w:i/>
          <w:iCs/>
        </w:rPr>
        <w:t>À</w:t>
      </w:r>
      <w:r w:rsidRPr="0051571F">
        <w:rPr>
          <w:rFonts w:ascii="Times New Roman" w:hAnsi="Times New Roman" w:cs="Times New Roman"/>
          <w:i/>
          <w:iCs/>
        </w:rPr>
        <w:t xml:space="preserve"> Rurutu, quand </w:t>
      </w:r>
      <w:r w:rsidR="00157CC0">
        <w:rPr>
          <w:rFonts w:ascii="Times New Roman" w:hAnsi="Times New Roman" w:cs="Times New Roman"/>
          <w:i/>
          <w:iCs/>
        </w:rPr>
        <w:t>il y</w:t>
      </w:r>
      <w:r w:rsidRPr="0051571F">
        <w:rPr>
          <w:rFonts w:ascii="Times New Roman" w:hAnsi="Times New Roman" w:cs="Times New Roman"/>
          <w:i/>
          <w:iCs/>
        </w:rPr>
        <w:t xml:space="preserve"> a les vols d’avion. Par rapport à Rapa, nous à Rurutu on a souvent des touristes. Et chaque village a son fare artisanat et nous on arrive encore à vendre, mais y a toujours quelque chose qui entre dans les foyers. Quand nous on dit que c’est déjà ça, 1500 un balai </w:t>
      </w:r>
      <w:r w:rsidR="000E0514" w:rsidRPr="000E0514">
        <w:rPr>
          <w:rFonts w:ascii="Times New Roman" w:hAnsi="Times New Roman" w:cs="Times New Roman"/>
          <w:i/>
          <w:iCs/>
        </w:rPr>
        <w:t>nī'au</w:t>
      </w:r>
      <w:r w:rsidRPr="0051571F">
        <w:rPr>
          <w:rFonts w:ascii="Times New Roman" w:hAnsi="Times New Roman" w:cs="Times New Roman"/>
          <w:i/>
          <w:iCs/>
        </w:rPr>
        <w:t>. »</w:t>
      </w:r>
    </w:p>
    <w:p w14:paraId="18B8C824" w14:textId="77777777" w:rsidR="00F734C1" w:rsidRPr="0051571F" w:rsidRDefault="00F734C1" w:rsidP="006F0AF6">
      <w:pPr>
        <w:pStyle w:val="NormalWeb"/>
        <w:spacing w:before="0" w:beforeAutospacing="0" w:after="0" w:afterAutospacing="0"/>
        <w:ind w:left="567"/>
        <w:jc w:val="both"/>
      </w:pPr>
      <w:r w:rsidRPr="0051571F">
        <w:t>(extrait d’entretien)</w:t>
      </w:r>
    </w:p>
    <w:p w14:paraId="03E2C37B" w14:textId="77777777" w:rsidR="00F734C1" w:rsidRPr="0051571F" w:rsidRDefault="00F734C1" w:rsidP="006F0AF6">
      <w:pPr>
        <w:pStyle w:val="NormalWeb"/>
        <w:spacing w:before="0" w:beforeAutospacing="0" w:after="0" w:afterAutospacing="0"/>
        <w:jc w:val="both"/>
      </w:pPr>
    </w:p>
    <w:p w14:paraId="2D71F437" w14:textId="77777777" w:rsidR="00F734C1" w:rsidRPr="0051571F" w:rsidRDefault="00F734C1" w:rsidP="006F0AF6">
      <w:pPr>
        <w:pStyle w:val="NormalWeb"/>
        <w:spacing w:before="0" w:beforeAutospacing="0" w:after="0" w:afterAutospacing="0"/>
        <w:jc w:val="both"/>
      </w:pPr>
      <w:r w:rsidRPr="0051571F">
        <w:t>Pour T. :</w:t>
      </w:r>
    </w:p>
    <w:p w14:paraId="6DB42647" w14:textId="7814F485" w:rsidR="00F734C1" w:rsidRPr="0051571F" w:rsidRDefault="00F734C1" w:rsidP="006F0AF6">
      <w:pPr>
        <w:ind w:left="567"/>
        <w:jc w:val="both"/>
        <w:rPr>
          <w:rFonts w:ascii="Times New Roman" w:hAnsi="Times New Roman" w:cs="Times New Roman"/>
          <w:i/>
          <w:iCs/>
        </w:rPr>
      </w:pPr>
      <w:r w:rsidRPr="0051571F">
        <w:rPr>
          <w:rFonts w:ascii="Times New Roman" w:hAnsi="Times New Roman" w:cs="Times New Roman"/>
          <w:i/>
          <w:iCs/>
        </w:rPr>
        <w:t>« Ça a été dur pourquoi, parce que les artisans attendaient ce salon. C’est vrai que les salons aident beaucoup les familles dans les associations parce que leurs produits qu’ils créent, ils vendent dans les associations, maintenant faut que les associations</w:t>
      </w:r>
      <w:r w:rsidR="0074757E">
        <w:rPr>
          <w:rFonts w:ascii="Times New Roman" w:hAnsi="Times New Roman" w:cs="Times New Roman"/>
          <w:i/>
          <w:iCs/>
        </w:rPr>
        <w:t>,</w:t>
      </w:r>
      <w:r w:rsidRPr="0051571F">
        <w:rPr>
          <w:rFonts w:ascii="Times New Roman" w:hAnsi="Times New Roman" w:cs="Times New Roman"/>
          <w:i/>
          <w:iCs/>
        </w:rPr>
        <w:t xml:space="preserve"> faut liquider ces produits, donc y a que sur Tahiti. Ce qu’on fait nous, c’est qu’on fait des expositions dans les îles. Chaque fédération</w:t>
      </w:r>
      <w:r w:rsidR="0074757E">
        <w:rPr>
          <w:rFonts w:ascii="Times New Roman" w:hAnsi="Times New Roman" w:cs="Times New Roman"/>
          <w:i/>
          <w:iCs/>
        </w:rPr>
        <w:t>,</w:t>
      </w:r>
      <w:r w:rsidRPr="0051571F">
        <w:rPr>
          <w:rFonts w:ascii="Times New Roman" w:hAnsi="Times New Roman" w:cs="Times New Roman"/>
          <w:i/>
          <w:iCs/>
        </w:rPr>
        <w:t xml:space="preserve"> de voir comment ils vont voir leur événement sur l’île, donc voilà. Mais le grand souhait des artisans c’est au moins revenir sur Tahiti et liquider leurs produits. Maintenant qu’est-ce qu’on fait nous, pendant 2 ans, y a encore des événements sur Tahiti malgré les fermetures et tout ça, y a eu des dérogations, y a eu des événements exceptionnels et tout, alors dès que nous, on voit cette </w:t>
      </w:r>
      <w:r w:rsidRPr="0051571F">
        <w:rPr>
          <w:rFonts w:ascii="Times New Roman" w:hAnsi="Times New Roman" w:cs="Times New Roman"/>
          <w:i/>
          <w:iCs/>
        </w:rPr>
        <w:lastRenderedPageBreak/>
        <w:t>possibilité, nous téléphone de la famille ici, on fait envoyer des produits et tout le monde essaie de liquider tous ces produits pour nous aider. Donc c’est ça qui nous a aidé</w:t>
      </w:r>
      <w:r w:rsidR="0074757E">
        <w:rPr>
          <w:rFonts w:ascii="Times New Roman" w:hAnsi="Times New Roman" w:cs="Times New Roman"/>
          <w:i/>
          <w:iCs/>
        </w:rPr>
        <w:t>s</w:t>
      </w:r>
      <w:r w:rsidRPr="0051571F">
        <w:rPr>
          <w:rFonts w:ascii="Times New Roman" w:hAnsi="Times New Roman" w:cs="Times New Roman"/>
          <w:i/>
          <w:iCs/>
        </w:rPr>
        <w:t>. C’est toute une organisation, mais c’est vrai qu’il faut travailler avec les familles qui sont ici sur Tahiti voilà. »</w:t>
      </w:r>
    </w:p>
    <w:p w14:paraId="71C8B1F7"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 d’entretien)</w:t>
      </w:r>
    </w:p>
    <w:p w14:paraId="3B603BE1" w14:textId="77777777" w:rsidR="00F734C1" w:rsidRPr="0051571F" w:rsidRDefault="00F734C1" w:rsidP="006F0AF6">
      <w:pPr>
        <w:pStyle w:val="NormalWeb"/>
        <w:spacing w:before="0" w:beforeAutospacing="0" w:after="0" w:afterAutospacing="0"/>
        <w:jc w:val="both"/>
      </w:pPr>
    </w:p>
    <w:p w14:paraId="75E5F6FC" w14:textId="77777777" w:rsidR="00F734C1" w:rsidRPr="0051571F" w:rsidRDefault="00F734C1" w:rsidP="006F0AF6">
      <w:pPr>
        <w:pStyle w:val="NormalWeb"/>
        <w:spacing w:before="0" w:beforeAutospacing="0" w:after="0" w:afterAutospacing="0"/>
        <w:jc w:val="both"/>
      </w:pPr>
      <w:r w:rsidRPr="0051571F">
        <w:t>La suspension des vols internationaux et l’absence de touristes internationaux dans les îles Australes durant la crise sanitaire ont fragilisé la vente des produits artisanaux. Selon R. rencontrée dans le hall de l’Assemblée de la Polynésie française :</w:t>
      </w:r>
    </w:p>
    <w:p w14:paraId="650F5338" w14:textId="46AA1A93" w:rsidR="00F734C1" w:rsidRPr="0051571F" w:rsidRDefault="00F734C1" w:rsidP="006F0AF6">
      <w:pPr>
        <w:pStyle w:val="NormalWeb"/>
        <w:pBdr>
          <w:left w:val="single" w:sz="4" w:space="4" w:color="auto"/>
        </w:pBdr>
        <w:spacing w:before="0" w:beforeAutospacing="0" w:after="0" w:afterAutospacing="0"/>
        <w:ind w:left="567"/>
        <w:jc w:val="both"/>
        <w:rPr>
          <w:i/>
          <w:iCs/>
        </w:rPr>
      </w:pPr>
      <w:r w:rsidRPr="0051571F">
        <w:rPr>
          <w:i/>
          <w:iCs/>
        </w:rPr>
        <w:t xml:space="preserve">« Ils </w:t>
      </w:r>
      <w:r w:rsidRPr="0051571F">
        <w:t>(les artisans)</w:t>
      </w:r>
      <w:r w:rsidRPr="0051571F">
        <w:rPr>
          <w:i/>
          <w:iCs/>
        </w:rPr>
        <w:t xml:space="preserve"> ont commencé à laisser tomber, les familles des îles. C’est tombé au niveau de la clientèle parce qu’il n’y avait plus de vol</w:t>
      </w:r>
      <w:r w:rsidR="00330085">
        <w:rPr>
          <w:i/>
          <w:iCs/>
        </w:rPr>
        <w:t>s</w:t>
      </w:r>
      <w:r w:rsidRPr="0051571F">
        <w:rPr>
          <w:i/>
          <w:iCs/>
        </w:rPr>
        <w:t>, y avait plus de touriste</w:t>
      </w:r>
      <w:r w:rsidR="00330085">
        <w:rPr>
          <w:i/>
          <w:iCs/>
        </w:rPr>
        <w:t>s</w:t>
      </w:r>
      <w:r w:rsidRPr="0051571F">
        <w:rPr>
          <w:i/>
          <w:iCs/>
        </w:rPr>
        <w:t xml:space="preserve">. Tous événements comme les anniversaires, les mariages, tout est fermé, les gens ne vont rien acheter. Après fallait serrer la ceinture au niveau de l’alimentation aussi. Ils ont été un peu paruparu </w:t>
      </w:r>
      <w:r w:rsidRPr="0051571F">
        <w:t xml:space="preserve">(être faible ou affaibli) </w:t>
      </w:r>
      <w:r w:rsidRPr="0051571F">
        <w:rPr>
          <w:i/>
          <w:iCs/>
        </w:rPr>
        <w:t>pour vendre. En plus, ils ne peuvent même pas aller à l’artisanat, le fare artisanat était fermé. »</w:t>
      </w:r>
    </w:p>
    <w:p w14:paraId="33F77814" w14:textId="77777777" w:rsidR="00F734C1" w:rsidRPr="0051571F" w:rsidRDefault="00F734C1" w:rsidP="006F0AF6">
      <w:pPr>
        <w:pStyle w:val="NormalWeb"/>
        <w:spacing w:before="0" w:beforeAutospacing="0" w:after="0" w:afterAutospacing="0"/>
        <w:ind w:left="567"/>
        <w:jc w:val="both"/>
      </w:pPr>
      <w:r w:rsidRPr="0051571F">
        <w:t>(extrait d’entretien)</w:t>
      </w:r>
    </w:p>
    <w:p w14:paraId="37C65A67" w14:textId="77777777" w:rsidR="00F734C1" w:rsidRPr="0051571F" w:rsidRDefault="00F734C1" w:rsidP="006F0AF6">
      <w:pPr>
        <w:pStyle w:val="NormalWeb"/>
        <w:spacing w:before="0" w:beforeAutospacing="0" w:after="0" w:afterAutospacing="0"/>
        <w:jc w:val="both"/>
      </w:pPr>
    </w:p>
    <w:p w14:paraId="4F86F1AA" w14:textId="77777777" w:rsidR="00F734C1" w:rsidRPr="0051571F" w:rsidRDefault="00F734C1" w:rsidP="006F0AF6">
      <w:pPr>
        <w:pStyle w:val="NormalWeb"/>
        <w:spacing w:before="0" w:beforeAutospacing="0" w:after="0" w:afterAutospacing="0"/>
        <w:jc w:val="both"/>
      </w:pPr>
      <w:r w:rsidRPr="0051571F">
        <w:t>Les périodes de confinement</w:t>
      </w:r>
      <w:r w:rsidRPr="0051571F">
        <w:rPr>
          <w:rStyle w:val="Appelnotedebasdep"/>
        </w:rPr>
        <w:footnoteReference w:id="28"/>
      </w:r>
      <w:r w:rsidRPr="0051571F">
        <w:t xml:space="preserve"> ont permis aux artisans de fabriquer des produits et de constituer des stocks importants dont le but est de les vendre dès la levée des restrictions sanitaires en général et la réouverture des frontières aériennes en particulier. Selon A. :</w:t>
      </w:r>
    </w:p>
    <w:p w14:paraId="0B589BB1" w14:textId="69C7094C" w:rsidR="00F734C1" w:rsidRPr="0051571F" w:rsidRDefault="00F734C1" w:rsidP="006F0AF6">
      <w:pPr>
        <w:pStyle w:val="NormalWeb"/>
        <w:pBdr>
          <w:left w:val="single" w:sz="4" w:space="4" w:color="auto"/>
        </w:pBdr>
        <w:spacing w:before="0" w:beforeAutospacing="0" w:after="0" w:afterAutospacing="0"/>
        <w:ind w:left="567"/>
        <w:jc w:val="both"/>
        <w:rPr>
          <w:i/>
          <w:iCs/>
        </w:rPr>
      </w:pPr>
      <w:r w:rsidRPr="0051571F">
        <w:rPr>
          <w:i/>
          <w:iCs/>
        </w:rPr>
        <w:t>« Pour Rapa, malgré le C</w:t>
      </w:r>
      <w:r w:rsidR="001031D4">
        <w:rPr>
          <w:i/>
          <w:iCs/>
        </w:rPr>
        <w:t>ovid</w:t>
      </w:r>
      <w:r w:rsidR="007F6FD7">
        <w:rPr>
          <w:i/>
          <w:iCs/>
        </w:rPr>
        <w:t>,</w:t>
      </w:r>
      <w:r w:rsidRPr="0051571F">
        <w:rPr>
          <w:i/>
          <w:iCs/>
        </w:rPr>
        <w:t xml:space="preserve"> on a essayé de faire quelque chose qu’on peut faire sur l’île. Et y avait une année on est descendu, c’était en pleine crise. Y avait l’île de Rurutu, Rimatara, Rapa. On est descendu pour une exposition. Bon, les autres ont eu peur de descendre alors avec cette crise. Mais, on a tout fait pour bien circuler les clients. Ça s’est bien passé, mais sur l’île c’était un peu dur. Il n’y avait pas de clients. Mais, on a tressé quand même durant les jours de C</w:t>
      </w:r>
      <w:r w:rsidR="001031D4">
        <w:rPr>
          <w:i/>
          <w:iCs/>
        </w:rPr>
        <w:t>ovid</w:t>
      </w:r>
      <w:r w:rsidRPr="0051571F">
        <w:rPr>
          <w:i/>
          <w:iCs/>
        </w:rPr>
        <w:t>. »</w:t>
      </w:r>
    </w:p>
    <w:p w14:paraId="45734E59" w14:textId="77777777" w:rsidR="00F734C1" w:rsidRPr="0051571F" w:rsidRDefault="00F734C1" w:rsidP="006F0AF6">
      <w:pPr>
        <w:pStyle w:val="NormalWeb"/>
        <w:spacing w:before="0" w:beforeAutospacing="0" w:after="0" w:afterAutospacing="0"/>
        <w:ind w:left="567"/>
        <w:jc w:val="both"/>
      </w:pPr>
      <w:r w:rsidRPr="0051571F">
        <w:t>(extrait d’entretien)</w:t>
      </w:r>
    </w:p>
    <w:p w14:paraId="73919514" w14:textId="77777777" w:rsidR="00F734C1" w:rsidRPr="0051571F" w:rsidRDefault="00F734C1" w:rsidP="006F0AF6">
      <w:pPr>
        <w:pStyle w:val="NormalWeb"/>
        <w:spacing w:before="0" w:beforeAutospacing="0" w:after="0" w:afterAutospacing="0"/>
        <w:jc w:val="both"/>
      </w:pPr>
    </w:p>
    <w:p w14:paraId="33111DEC" w14:textId="306E61A2" w:rsidR="00F734C1" w:rsidRPr="0051571F" w:rsidRDefault="00F734C1" w:rsidP="006F0AF6">
      <w:pPr>
        <w:pStyle w:val="NormalWeb"/>
        <w:spacing w:before="0" w:beforeAutospacing="0" w:after="0" w:afterAutospacing="0"/>
        <w:jc w:val="both"/>
      </w:pPr>
      <w:r w:rsidRPr="0051571F">
        <w:t xml:space="preserve">Durant cette même période et afin de subvenir à leurs besoins alimentaires, les artisans ont pu compter sur la solidarité familiale, organisée en </w:t>
      </w:r>
      <w:r w:rsidR="006973CB" w:rsidRPr="006973CB">
        <w:rPr>
          <w:i/>
          <w:iCs/>
        </w:rPr>
        <w:t>'ō</w:t>
      </w:r>
      <w:r w:rsidRPr="0051571F">
        <w:rPr>
          <w:i/>
          <w:iCs/>
        </w:rPr>
        <w:t xml:space="preserve">pu’u </w:t>
      </w:r>
      <w:r w:rsidR="006973CB" w:rsidRPr="006973CB">
        <w:rPr>
          <w:i/>
          <w:iCs/>
        </w:rPr>
        <w:t>fēti</w:t>
      </w:r>
      <w:r w:rsidRPr="0051571F">
        <w:rPr>
          <w:i/>
          <w:iCs/>
        </w:rPr>
        <w:t xml:space="preserve">’i. </w:t>
      </w:r>
      <w:r w:rsidRPr="0051571F">
        <w:t xml:space="preserve">En effet, les </w:t>
      </w:r>
      <w:r w:rsidR="00D567E7" w:rsidRPr="009D20BA">
        <w:rPr>
          <w:i/>
          <w:iCs/>
        </w:rPr>
        <w:t>fēti</w:t>
      </w:r>
      <w:r w:rsidRPr="009D20BA">
        <w:rPr>
          <w:i/>
          <w:iCs/>
        </w:rPr>
        <w:t>’i</w:t>
      </w:r>
      <w:r w:rsidRPr="0051571F">
        <w:t xml:space="preserve"> (parents au sens large) installés sur Tahiti réceptionnaient et livraient les produits envoyés par bateau, lesquels étaient préalablement vendus par le biais des réseaux sociaux, depuis </w:t>
      </w:r>
      <w:r w:rsidRPr="0051571F">
        <w:rPr>
          <w:i/>
          <w:iCs/>
        </w:rPr>
        <w:t>Facebook</w:t>
      </w:r>
      <w:r w:rsidRPr="0051571F">
        <w:t xml:space="preserve"> notamment. Selon R. :</w:t>
      </w:r>
    </w:p>
    <w:p w14:paraId="7F7072AD" w14:textId="41B861D2" w:rsidR="00F734C1" w:rsidRPr="0051571F" w:rsidRDefault="00F734C1" w:rsidP="006F0AF6">
      <w:pPr>
        <w:pBdr>
          <w:left w:val="single" w:sz="4" w:space="4" w:color="auto"/>
        </w:pBdr>
        <w:ind w:left="567"/>
        <w:jc w:val="both"/>
        <w:rPr>
          <w:rFonts w:ascii="Times New Roman" w:hAnsi="Times New Roman" w:cs="Times New Roman"/>
          <w:i/>
          <w:iCs/>
        </w:rPr>
      </w:pPr>
      <w:r w:rsidRPr="0051571F">
        <w:rPr>
          <w:rFonts w:ascii="Times New Roman" w:hAnsi="Times New Roman" w:cs="Times New Roman"/>
          <w:i/>
          <w:iCs/>
        </w:rPr>
        <w:t>« Déjà y avait plus de touriste</w:t>
      </w:r>
      <w:r w:rsidR="0074699A">
        <w:rPr>
          <w:rFonts w:ascii="Times New Roman" w:hAnsi="Times New Roman" w:cs="Times New Roman"/>
          <w:i/>
          <w:iCs/>
        </w:rPr>
        <w:t>s</w:t>
      </w:r>
      <w:r w:rsidRPr="0051571F">
        <w:rPr>
          <w:rFonts w:ascii="Times New Roman" w:hAnsi="Times New Roman" w:cs="Times New Roman"/>
          <w:i/>
          <w:iCs/>
        </w:rPr>
        <w:t>, y avait plus d’avion</w:t>
      </w:r>
      <w:r w:rsidR="0074699A">
        <w:rPr>
          <w:rFonts w:ascii="Times New Roman" w:hAnsi="Times New Roman" w:cs="Times New Roman"/>
          <w:i/>
          <w:iCs/>
        </w:rPr>
        <w:t>s</w:t>
      </w:r>
      <w:r w:rsidRPr="0051571F">
        <w:rPr>
          <w:rFonts w:ascii="Times New Roman" w:hAnsi="Times New Roman" w:cs="Times New Roman"/>
          <w:i/>
          <w:iCs/>
        </w:rPr>
        <w:t xml:space="preserve"> parce que des fois, on recevait des commandes par facebook et tout (…) Mais on ne peut pas envoyer, il n’y a pas de fret, pas d’avion. Prenait des frets, mais fallait attendre 2 semaines. Des fois</w:t>
      </w:r>
      <w:r w:rsidR="0074699A">
        <w:rPr>
          <w:rFonts w:ascii="Times New Roman" w:hAnsi="Times New Roman" w:cs="Times New Roman"/>
          <w:i/>
          <w:iCs/>
        </w:rPr>
        <w:t>,</w:t>
      </w:r>
      <w:r w:rsidRPr="0051571F">
        <w:rPr>
          <w:rFonts w:ascii="Times New Roman" w:hAnsi="Times New Roman" w:cs="Times New Roman"/>
          <w:i/>
          <w:iCs/>
        </w:rPr>
        <w:t xml:space="preserve"> c’était des clients locaux qui ont de la famille qui devait rentrer en France, qui voulaient offrir des cadeaux avant qu’ils rentrent. Mais ils appellent, tu es obligé d’attendre combien de temps pour arriver à Tahiti. »</w:t>
      </w:r>
    </w:p>
    <w:p w14:paraId="624FCE66" w14:textId="77777777" w:rsidR="00F734C1" w:rsidRPr="0051571F" w:rsidRDefault="00F734C1" w:rsidP="003B72DB">
      <w:pPr>
        <w:ind w:left="567"/>
        <w:jc w:val="both"/>
        <w:rPr>
          <w:rFonts w:ascii="Times New Roman" w:hAnsi="Times New Roman" w:cs="Times New Roman"/>
        </w:rPr>
      </w:pPr>
      <w:r w:rsidRPr="0051571F">
        <w:rPr>
          <w:rFonts w:ascii="Times New Roman" w:hAnsi="Times New Roman" w:cs="Times New Roman"/>
        </w:rPr>
        <w:t>(extrait d’entretien)</w:t>
      </w:r>
    </w:p>
    <w:p w14:paraId="2AADF885" w14:textId="77777777" w:rsidR="00F734C1" w:rsidRPr="0051571F" w:rsidRDefault="00F734C1" w:rsidP="003B72DB">
      <w:pPr>
        <w:pStyle w:val="NormalWeb"/>
        <w:spacing w:before="0" w:beforeAutospacing="0" w:after="0" w:afterAutospacing="0"/>
        <w:jc w:val="both"/>
      </w:pPr>
    </w:p>
    <w:p w14:paraId="6F23DB82" w14:textId="4873E116" w:rsidR="00F734C1" w:rsidRPr="0051571F" w:rsidRDefault="003B72DB" w:rsidP="003B72DB">
      <w:pPr>
        <w:pStyle w:val="NormalWeb"/>
        <w:spacing w:before="0" w:beforeAutospacing="0" w:after="0" w:afterAutospacing="0"/>
        <w:jc w:val="both"/>
      </w:pPr>
      <w:r>
        <w:t>Cette demande de soutien familial en période de crise constitue l'une des principales stratégies adoptées par les artisans pour préserver une certaine activité économique. La pandémie de Covid-19 a mis en lumière l'importance de maintenir les liens familiaux, particulièrement dans le contexte de la dispersion géographique des familles polynésiennes</w:t>
      </w:r>
      <w:r w:rsidR="003C58D6">
        <w:t>.</w:t>
      </w:r>
      <w:r w:rsidR="00F734C1" w:rsidRPr="0051571F">
        <w:rPr>
          <w:rStyle w:val="Appelnotedebasdep"/>
        </w:rPr>
        <w:footnoteReference w:id="29"/>
      </w:r>
    </w:p>
    <w:p w14:paraId="5FB166DA" w14:textId="77777777" w:rsidR="00C3178D" w:rsidRDefault="00C3178D" w:rsidP="003B72DB">
      <w:pPr>
        <w:adjustRightInd w:val="0"/>
        <w:snapToGrid w:val="0"/>
        <w:jc w:val="both"/>
        <w:rPr>
          <w:rFonts w:ascii="Times New Roman" w:hAnsi="Times New Roman" w:cs="Times New Roman"/>
          <w:bCs/>
        </w:rPr>
      </w:pPr>
    </w:p>
    <w:p w14:paraId="02BEB6C7" w14:textId="71693739" w:rsidR="00C3178D" w:rsidRPr="00703B0C" w:rsidRDefault="00C3178D" w:rsidP="003B72DB">
      <w:pPr>
        <w:adjustRightInd w:val="0"/>
        <w:snapToGrid w:val="0"/>
        <w:jc w:val="both"/>
        <w:rPr>
          <w:rFonts w:ascii="Times New Roman" w:hAnsi="Times New Roman" w:cs="Times New Roman"/>
          <w:bCs/>
          <w:i/>
          <w:iCs/>
        </w:rPr>
      </w:pPr>
      <w:r w:rsidRPr="00703B0C">
        <w:rPr>
          <w:rFonts w:ascii="Times New Roman" w:hAnsi="Times New Roman" w:cs="Times New Roman"/>
          <w:bCs/>
          <w:i/>
          <w:iCs/>
        </w:rPr>
        <w:t xml:space="preserve">Étude de cas n°2 </w:t>
      </w:r>
    </w:p>
    <w:p w14:paraId="5D7C6FCF" w14:textId="77777777" w:rsidR="00F734C1" w:rsidRPr="0051571F" w:rsidRDefault="00F734C1" w:rsidP="006F0AF6">
      <w:pPr>
        <w:adjustRightInd w:val="0"/>
        <w:snapToGrid w:val="0"/>
        <w:jc w:val="both"/>
        <w:rPr>
          <w:rFonts w:ascii="Times New Roman" w:hAnsi="Times New Roman" w:cs="Times New Roman"/>
          <w:bCs/>
        </w:rPr>
      </w:pPr>
    </w:p>
    <w:p w14:paraId="33D34A7A" w14:textId="71EB1915" w:rsidR="00F734C1" w:rsidRPr="00984E76" w:rsidRDefault="00984E76" w:rsidP="006F0AF6">
      <w:pPr>
        <w:adjustRightInd w:val="0"/>
        <w:snapToGrid w:val="0"/>
        <w:jc w:val="both"/>
        <w:rPr>
          <w:rFonts w:ascii="Times New Roman" w:hAnsi="Times New Roman" w:cs="Times New Roman"/>
          <w:bCs/>
        </w:rPr>
      </w:pPr>
      <w:r w:rsidRPr="00984E76">
        <w:rPr>
          <w:rFonts w:ascii="Times New Roman" w:hAnsi="Times New Roman" w:cs="Times New Roman"/>
        </w:rPr>
        <w:t xml:space="preserve">Une seconde collecte de données a été </w:t>
      </w:r>
      <w:r w:rsidR="00F6230C">
        <w:rPr>
          <w:rFonts w:ascii="Times New Roman" w:hAnsi="Times New Roman" w:cs="Times New Roman"/>
        </w:rPr>
        <w:t>réalisée</w:t>
      </w:r>
      <w:r w:rsidRPr="00984E76">
        <w:rPr>
          <w:rFonts w:ascii="Times New Roman" w:hAnsi="Times New Roman" w:cs="Times New Roman"/>
        </w:rPr>
        <w:t xml:space="preserve"> au marché de Papeete, situé au cœur de la ville et fréquenté par des croisiéristes et des touristes. Ce marché propose une variété de produits artisanaux, allant de créations en matières premières locales à des articles utilisant des matériaux étrangers</w:t>
      </w:r>
      <w:r w:rsidR="00AC3115">
        <w:rPr>
          <w:rFonts w:ascii="Times New Roman" w:hAnsi="Times New Roman" w:cs="Times New Roman"/>
        </w:rPr>
        <w:t xml:space="preserve"> et importés</w:t>
      </w:r>
      <w:r w:rsidRPr="00984E76">
        <w:rPr>
          <w:rFonts w:ascii="Times New Roman" w:hAnsi="Times New Roman" w:cs="Times New Roman"/>
        </w:rPr>
        <w:t xml:space="preserve">. Douze artisans, tous patentés, ont été interrogés, dont deux se sont enregistrés récemment. La pandémie a impacté ces artisans de manière différente selon leur statut, les poussant à adopter des stratégies pour maintenir des conditions de vie stables. </w:t>
      </w:r>
      <w:r w:rsidR="002C2747">
        <w:rPr>
          <w:rFonts w:ascii="Times New Roman" w:hAnsi="Times New Roman" w:cs="Times New Roman"/>
        </w:rPr>
        <w:t xml:space="preserve"> </w:t>
      </w:r>
      <w:r w:rsidRPr="00984E76">
        <w:rPr>
          <w:rFonts w:ascii="Times New Roman" w:hAnsi="Times New Roman" w:cs="Times New Roman"/>
        </w:rPr>
        <w:t xml:space="preserve">Avant la </w:t>
      </w:r>
      <w:r w:rsidR="00CC314A">
        <w:rPr>
          <w:rFonts w:ascii="Times New Roman" w:hAnsi="Times New Roman" w:cs="Times New Roman"/>
        </w:rPr>
        <w:t>crise</w:t>
      </w:r>
      <w:r w:rsidRPr="00984E76">
        <w:rPr>
          <w:rFonts w:ascii="Times New Roman" w:hAnsi="Times New Roman" w:cs="Times New Roman"/>
        </w:rPr>
        <w:t xml:space="preserve">, l'artisanat prospérait grâce à un fort tourisme, mais l'arrivée de la Covid-19 en mars 2020 a perturbé l'économie locale. </w:t>
      </w:r>
      <w:r w:rsidR="00F734C1" w:rsidRPr="00984E76">
        <w:rPr>
          <w:rFonts w:ascii="Times New Roman" w:hAnsi="Times New Roman" w:cs="Times New Roman"/>
          <w:bCs/>
        </w:rPr>
        <w:t>Elle a été qualifiée de :</w:t>
      </w:r>
    </w:p>
    <w:p w14:paraId="793A6776" w14:textId="77777777" w:rsidR="00F734C1" w:rsidRPr="0051571F" w:rsidRDefault="00F734C1" w:rsidP="006F0AF6">
      <w:pPr>
        <w:pBdr>
          <w:left w:val="single" w:sz="4" w:space="4" w:color="auto"/>
        </w:pBdr>
        <w:adjustRightInd w:val="0"/>
        <w:snapToGrid w:val="0"/>
        <w:ind w:left="567"/>
        <w:jc w:val="both"/>
        <w:rPr>
          <w:rFonts w:ascii="Times New Roman" w:hAnsi="Times New Roman" w:cs="Times New Roman"/>
          <w:bCs/>
          <w:i/>
          <w:iCs/>
        </w:rPr>
      </w:pPr>
      <w:r w:rsidRPr="0051571F">
        <w:rPr>
          <w:rFonts w:ascii="Times New Roman" w:hAnsi="Times New Roman" w:cs="Times New Roman"/>
          <w:bCs/>
          <w:i/>
          <w:iCs/>
        </w:rPr>
        <w:t>« douloureuse »</w:t>
      </w:r>
      <w:r w:rsidRPr="0051571F">
        <w:rPr>
          <w:rStyle w:val="Appelnotedebasdep"/>
          <w:rFonts w:ascii="Times New Roman" w:hAnsi="Times New Roman" w:cs="Times New Roman"/>
          <w:bCs/>
        </w:rPr>
        <w:footnoteReference w:id="30"/>
      </w:r>
      <w:r w:rsidRPr="0051571F">
        <w:rPr>
          <w:rFonts w:ascii="Times New Roman" w:hAnsi="Times New Roman" w:cs="Times New Roman"/>
          <w:bCs/>
        </w:rPr>
        <w:t xml:space="preserve">, </w:t>
      </w:r>
      <w:r w:rsidRPr="0051571F">
        <w:rPr>
          <w:rFonts w:ascii="Times New Roman" w:hAnsi="Times New Roman" w:cs="Times New Roman"/>
          <w:bCs/>
          <w:i/>
          <w:iCs/>
        </w:rPr>
        <w:t xml:space="preserve">« très difficile », « dure », « compliquée » ou encore « catastrophique ». </w:t>
      </w:r>
    </w:p>
    <w:p w14:paraId="25B0DD58" w14:textId="77777777" w:rsidR="00F734C1" w:rsidRPr="0051571F" w:rsidRDefault="00F734C1" w:rsidP="006F0AF6">
      <w:pPr>
        <w:adjustRightInd w:val="0"/>
        <w:snapToGrid w:val="0"/>
        <w:ind w:left="567"/>
        <w:jc w:val="both"/>
        <w:rPr>
          <w:rFonts w:ascii="Times New Roman" w:hAnsi="Times New Roman" w:cs="Times New Roman"/>
          <w:bCs/>
        </w:rPr>
      </w:pPr>
      <w:r w:rsidRPr="0051571F">
        <w:rPr>
          <w:rFonts w:ascii="Times New Roman" w:hAnsi="Times New Roman" w:cs="Times New Roman"/>
          <w:bCs/>
        </w:rPr>
        <w:t>(extraits d’entretiens)</w:t>
      </w:r>
    </w:p>
    <w:p w14:paraId="0D2843E7" w14:textId="77777777" w:rsidR="00F734C1" w:rsidRPr="0051571F" w:rsidRDefault="00F734C1" w:rsidP="00CA00DF">
      <w:pPr>
        <w:adjustRightInd w:val="0"/>
        <w:snapToGrid w:val="0"/>
        <w:jc w:val="both"/>
        <w:rPr>
          <w:rFonts w:ascii="Times New Roman" w:hAnsi="Times New Roman" w:cs="Times New Roman"/>
          <w:bCs/>
        </w:rPr>
      </w:pPr>
    </w:p>
    <w:p w14:paraId="65756BE4" w14:textId="115C51F4" w:rsidR="00CA00DF" w:rsidRDefault="00CA00DF" w:rsidP="00CA00DF">
      <w:pPr>
        <w:pStyle w:val="NormalWeb"/>
        <w:spacing w:before="0" w:beforeAutospacing="0" w:after="0" w:afterAutospacing="0"/>
        <w:jc w:val="both"/>
      </w:pPr>
      <w:r>
        <w:t xml:space="preserve">La crise sanitaire, marquée par la suspension des vols internationaux et l'instauration de restrictions sanitaires, a gravement impacté le marché et les artisans. Dix artisans patentés ont reçu une aide financière de l'État pour maintenir leur activité, mais ces aides étaient insuffisantes pour retrouver un niveau de vie pré-Covid. Ils ont donc développé des stratégies de survie, telles que la vente en ligne via </w:t>
      </w:r>
      <w:r w:rsidRPr="00D00E1C">
        <w:rPr>
          <w:i/>
          <w:iCs/>
        </w:rPr>
        <w:t>Facebook</w:t>
      </w:r>
      <w:r>
        <w:t xml:space="preserve"> et la vente de plats cuisinés, malgré une baisse de revenus estimée à 20%. En revanche, deux artisans non patentés ont souffert davantage, n'ayant pas accès aux mêmes aides, ce qui a entraîné l'arrêt total de leur activité. Leur situation a mis en lumière des inégalités sociales en matière d'accès à l'information et aux ressources. Par ailleurs, 22 personnes interrogées sur le marché de Papeete ont révélé que l'artisanat était devenu une alternative au chômage pour certains. Parmi elles, six avaient perdu leur emploi </w:t>
      </w:r>
      <w:r w:rsidR="00B50ABF">
        <w:t xml:space="preserve">dans les secteurs public et privé </w:t>
      </w:r>
      <w:r>
        <w:t>et s'étaient reconverties dans l'artisanat, tandis que les autres vendaient des créations d'artisans de leur famille. Cela souligne la résilience des Polynésiens et l'importance de l'artisanat comme ressource économique familiale.</w:t>
      </w:r>
    </w:p>
    <w:p w14:paraId="5F9F4862" w14:textId="77777777" w:rsidR="00E04E4D" w:rsidRPr="0051571F" w:rsidRDefault="00E04E4D" w:rsidP="00057B3D">
      <w:pPr>
        <w:jc w:val="both"/>
        <w:rPr>
          <w:rFonts w:ascii="Times New Roman" w:hAnsi="Times New Roman" w:cs="Times New Roman"/>
        </w:rPr>
      </w:pPr>
    </w:p>
    <w:p w14:paraId="7CA8C358" w14:textId="1DEA7D30" w:rsidR="00F734C1" w:rsidRPr="009A6F75" w:rsidRDefault="00F734C1" w:rsidP="00595AE9">
      <w:pPr>
        <w:pStyle w:val="PrformatHTML"/>
        <w:numPr>
          <w:ilvl w:val="0"/>
          <w:numId w:val="24"/>
        </w:numPr>
        <w:jc w:val="both"/>
        <w:outlineLvl w:val="2"/>
        <w:rPr>
          <w:rFonts w:ascii="Times New Roman" w:hAnsi="Times New Roman" w:cs="Times New Roman"/>
          <w:sz w:val="24"/>
          <w:szCs w:val="24"/>
        </w:rPr>
      </w:pPr>
      <w:bookmarkStart w:id="3" w:name="_Toc121818313"/>
      <w:r w:rsidRPr="009A6F75">
        <w:rPr>
          <w:rFonts w:ascii="Times New Roman" w:hAnsi="Times New Roman" w:cs="Times New Roman"/>
          <w:sz w:val="24"/>
          <w:szCs w:val="24"/>
        </w:rPr>
        <w:t>Le livre et la presse (édition de livre, salon du livre)</w:t>
      </w:r>
      <w:bookmarkEnd w:id="3"/>
      <w:r w:rsidRPr="009A6F75">
        <w:rPr>
          <w:rFonts w:ascii="Times New Roman" w:hAnsi="Times New Roman" w:cs="Times New Roman"/>
          <w:sz w:val="24"/>
          <w:szCs w:val="24"/>
        </w:rPr>
        <w:t> </w:t>
      </w:r>
    </w:p>
    <w:p w14:paraId="715B0ED0" w14:textId="77777777" w:rsidR="00F734C1" w:rsidRPr="0051571F" w:rsidRDefault="00F734C1" w:rsidP="006F0AF6">
      <w:pPr>
        <w:rPr>
          <w:rFonts w:ascii="Times New Roman" w:hAnsi="Times New Roman" w:cs="Times New Roman"/>
        </w:rPr>
      </w:pPr>
    </w:p>
    <w:p w14:paraId="4D54278A" w14:textId="3F4E7702" w:rsidR="00F734C1" w:rsidRPr="0051571F" w:rsidRDefault="00F734C1" w:rsidP="006F0AF6">
      <w:pPr>
        <w:pStyle w:val="NormalWeb"/>
        <w:spacing w:before="0" w:beforeAutospacing="0" w:after="0" w:afterAutospacing="0"/>
        <w:jc w:val="both"/>
      </w:pPr>
      <w:r w:rsidRPr="0051571F">
        <w:t xml:space="preserve">Le livre et la presse regroupent les industries dont les activités sont liées à l’édition, qu’elle soit sous format papier et numérique, depuis la production, l’impression ou sa mise en ligne jusqu’à sa parution au public. Ainsi, l’édition de livres, de journaux, périodiques et toutes formes de publications s’inscrivent dans </w:t>
      </w:r>
      <w:r w:rsidR="00F639AE">
        <w:t>c</w:t>
      </w:r>
      <w:r w:rsidRPr="0051571F">
        <w:t xml:space="preserve">e domaine. </w:t>
      </w:r>
    </w:p>
    <w:p w14:paraId="2225CCF4" w14:textId="2C1A8251" w:rsidR="00F734C1" w:rsidRDefault="00CE2455" w:rsidP="0008781E">
      <w:pPr>
        <w:pStyle w:val="NormalWeb"/>
        <w:spacing w:before="0" w:beforeAutospacing="0" w:after="0" w:afterAutospacing="0"/>
        <w:jc w:val="both"/>
      </w:pPr>
      <w:r w:rsidRPr="00CE2455">
        <w:t xml:space="preserve">Selon </w:t>
      </w:r>
      <w:r w:rsidR="00D44B32">
        <w:t>l’ISPF,</w:t>
      </w:r>
      <w:r w:rsidRPr="00CE2455">
        <w:t xml:space="preserve"> le nombre d'éditeurs enregistrés dans le secteur de l'édition de livres a augmenté de 4 à 7 entre 2019 et 2022, principalement en raison de la transition numérique. La délibération n° 2011-75 APF du 13 octobre 2011 établit un cadre pour soutenir la création artistique et littéraire, visant à promouvoir l'identité culturelle de la Polynésie</w:t>
      </w:r>
      <w:r w:rsidR="00FE23B3">
        <w:t xml:space="preserve"> française</w:t>
      </w:r>
      <w:r w:rsidRPr="00CE2455">
        <w:t>, encourager la recherche, renforcer la solidarité sociale, et améliorer l'accès du public aux œuvres locales. Les domaines soutenus incluent les arts visuels, la littérature et les arts du spectacle. L'aide individuelle s'adresse aux professionnels, aux nouveaux créateurs et aux collectifs d'artistes, sous certaines conditions de résidence et d'expérience.</w:t>
      </w:r>
      <w:r w:rsidR="0008781E">
        <w:t xml:space="preserve"> </w:t>
      </w:r>
      <w:r w:rsidR="00525EF0" w:rsidRPr="00525EF0">
        <w:t xml:space="preserve">Depuis 2001, neuf éditeurs en Polynésie française ont formé l'Association des éditeurs de Tahiti et des îles (AETI) pour promouvoir et défendre l'édition locale. L'association regroupe des éditeurs tels qu'Au vent des îles et Mers Australes, et s'engage à faciliter l'accès à la lecture et à l'écriture à travers divers événements culturels, dont le Salon « lire en Polynésie » et le Salon du livre de Paris. En 2022, lors d'un salon à </w:t>
      </w:r>
      <w:r w:rsidR="00AD3B6A">
        <w:t>TFTN</w:t>
      </w:r>
      <w:r w:rsidR="00525EF0" w:rsidRPr="00525EF0">
        <w:t xml:space="preserve">, sept éditeurs ont été interrogés sur l'impact de la pandémie de Covid-19 sur leur </w:t>
      </w:r>
      <w:r w:rsidR="00525EF0" w:rsidRPr="00525EF0">
        <w:lastRenderedPageBreak/>
        <w:t>activité, la consommation de livres pendant la crise et les stratégies adoptées pour continuer à fonctionner durant cette période.</w:t>
      </w:r>
    </w:p>
    <w:p w14:paraId="18DBDCBC" w14:textId="429E0AF8" w:rsidR="00525EF0" w:rsidRDefault="00525EF0" w:rsidP="006F0AF6">
      <w:pPr>
        <w:contextualSpacing/>
        <w:jc w:val="both"/>
        <w:rPr>
          <w:rFonts w:ascii="Times New Roman" w:hAnsi="Times New Roman" w:cs="Times New Roman"/>
        </w:rPr>
      </w:pPr>
    </w:p>
    <w:p w14:paraId="4417B4C5" w14:textId="7769B93D" w:rsidR="003041A9" w:rsidRPr="003041A9" w:rsidRDefault="003041A9" w:rsidP="006F0AF6">
      <w:pPr>
        <w:contextualSpacing/>
        <w:jc w:val="both"/>
        <w:rPr>
          <w:rFonts w:ascii="Times New Roman" w:hAnsi="Times New Roman" w:cs="Times New Roman"/>
          <w:i/>
          <w:iCs/>
        </w:rPr>
      </w:pPr>
      <w:r w:rsidRPr="003041A9">
        <w:rPr>
          <w:rFonts w:ascii="Times New Roman" w:hAnsi="Times New Roman" w:cs="Times New Roman"/>
          <w:i/>
          <w:iCs/>
        </w:rPr>
        <w:t xml:space="preserve">Étude de cas n°1 </w:t>
      </w:r>
    </w:p>
    <w:p w14:paraId="3863848B" w14:textId="77777777" w:rsidR="00F734C1" w:rsidRPr="0051571F" w:rsidRDefault="00F734C1" w:rsidP="00E52D91">
      <w:pPr>
        <w:pStyle w:val="NormalWeb"/>
        <w:spacing w:before="0" w:beforeAutospacing="0" w:after="0" w:afterAutospacing="0"/>
        <w:jc w:val="both"/>
      </w:pPr>
    </w:p>
    <w:p w14:paraId="321788FC" w14:textId="1C46C04B" w:rsidR="00E52D91" w:rsidRDefault="00E52D91" w:rsidP="00E52D91">
      <w:pPr>
        <w:pStyle w:val="NormalWeb"/>
        <w:spacing w:before="0" w:beforeAutospacing="0" w:after="0" w:afterAutospacing="0"/>
        <w:jc w:val="both"/>
      </w:pPr>
      <w:r>
        <w:t xml:space="preserve">Le Salon du livre de Tahiti, organisé par l’Association des éditeurs de Tahiti et îles, se tient chaque année depuis 22 ans, réunissant le public et les acteurs du livre durant quatre jours, du 17 au 20 novembre 2022. Cette édition a proposé divers événements, tels que des ateliers, des rencontres avec des auteurs, des projections, un concours d’écriture et des animations autour de la cuisine et de la littérature. Une analyse des expériences des éditeurs face à la pandémie de Covid-19 a révélé plusieurs points clés. Deux types d'éditions existent : celles subventionnées et celles indépendantes. Les contraintes majeures incluent la suspension des transports maritimes, retardant la livraison de livres. Paradoxalement, les périodes de confinement ont favorisé la lecture, même si la fermeture des librairies a freiné les ventes. Avant la crise, les ventes de livres étaient </w:t>
      </w:r>
      <w:r w:rsidR="00021B85">
        <w:t>« </w:t>
      </w:r>
      <w:r>
        <w:t>normales</w:t>
      </w:r>
      <w:r w:rsidR="00021B85">
        <w:t> »</w:t>
      </w:r>
      <w:r>
        <w:t xml:space="preserve">, surtout pour la littérature de jeunesse, intégrée dans les bibliothèques scolaires. Pendant le confinement, la production de livres est restée stable, mais la littérature jeunesse a prospéré, les parents cherchant des alternatives aux écrans. Certaines maisons d'édition ont connu des baisses de ventes, et les adaptations numériques n'ont pas suffi à compenser la demande pour les livres papier. Après la crise, la reprise des ventes est progressive, avec un intérêt </w:t>
      </w:r>
      <w:r w:rsidR="00506B9B">
        <w:t>tout particulier</w:t>
      </w:r>
      <w:r>
        <w:t xml:space="preserve"> pour la littérature jeunesse, les parents investissant davantage dans les livres pour leurs enfants.</w:t>
      </w:r>
    </w:p>
    <w:p w14:paraId="78553295" w14:textId="77826F91" w:rsidR="00B535B8" w:rsidRDefault="00B535B8" w:rsidP="00E52D91">
      <w:pPr>
        <w:pStyle w:val="NormalWeb"/>
        <w:spacing w:before="0" w:beforeAutospacing="0" w:after="0" w:afterAutospacing="0"/>
        <w:jc w:val="both"/>
      </w:pPr>
    </w:p>
    <w:p w14:paraId="61FF0E2D" w14:textId="72D5DECC" w:rsidR="00B535B8" w:rsidRPr="00B535B8" w:rsidRDefault="00B535B8" w:rsidP="00E52D91">
      <w:pPr>
        <w:pStyle w:val="NormalWeb"/>
        <w:spacing w:before="0" w:beforeAutospacing="0" w:after="0" w:afterAutospacing="0"/>
        <w:jc w:val="both"/>
        <w:rPr>
          <w:i/>
          <w:iCs/>
        </w:rPr>
      </w:pPr>
      <w:r w:rsidRPr="00B535B8">
        <w:rPr>
          <w:i/>
          <w:iCs/>
        </w:rPr>
        <w:t>Étude de cas n°2</w:t>
      </w:r>
    </w:p>
    <w:p w14:paraId="11E3DC27" w14:textId="77777777" w:rsidR="00F734C1" w:rsidRPr="0051571F" w:rsidRDefault="00F734C1" w:rsidP="006F0AF6">
      <w:pPr>
        <w:pStyle w:val="NormalWeb"/>
        <w:spacing w:before="0" w:beforeAutospacing="0" w:after="0" w:afterAutospacing="0"/>
      </w:pPr>
    </w:p>
    <w:p w14:paraId="4751ECD3" w14:textId="0D17E7F1" w:rsidR="00F734C1" w:rsidRPr="0051571F" w:rsidRDefault="00F734C1" w:rsidP="006F0AF6">
      <w:pPr>
        <w:pStyle w:val="NormalWeb"/>
        <w:spacing w:before="0" w:beforeAutospacing="0" w:after="0" w:afterAutospacing="0"/>
        <w:jc w:val="both"/>
      </w:pPr>
      <w:r w:rsidRPr="0051571F">
        <w:t xml:space="preserve">Entre 2018 et 2020, le nombre d’adhésions dans les bibliothèques pour enfants et adultes a diminué avant d’augmenter en 2021. En effet, le nombre d’adhésions à la bibliothèque « adultes » </w:t>
      </w:r>
      <w:r w:rsidR="00C84AB2">
        <w:t xml:space="preserve">de TFTN </w:t>
      </w:r>
      <w:r w:rsidRPr="0051571F">
        <w:t>est passé de 662 en 2018 à 468 en 2020 avant de remonter à 493 en 2021. La courbe est similaire pour la bibliothèque « enfants » qui est passée de 1 101 en 2018 contre 678 en 2020 avant de remonter à 770 en 2021. Ainsi, le nombre d’adhésions a bien diminué durant la crise sanitaire avant de vivre une nouvelle croissance en 2021. L’année 2021 a également été marquée par une hausse de la fréquentation. En effet, la bibliothèque « enfants » enregistrait 11 369 visiteurs en 2021 contre 8 908 en 2020 et la bibliothèque « adultes » enregistrait quant à elle, 11 136 visiteurs en 2021 contre 9 872 en 2020.</w:t>
      </w:r>
      <w:r w:rsidRPr="0051571F">
        <w:rPr>
          <w:rStyle w:val="Appelnotedebasdep"/>
        </w:rPr>
        <w:footnoteReference w:id="31"/>
      </w:r>
      <w:r w:rsidRPr="0051571F">
        <w:t xml:space="preserve"> Cette augmentation s’explique, entre autres choses, par la levée progressive des restrictions sanitaires et </w:t>
      </w:r>
      <w:r w:rsidRPr="0051571F">
        <w:rPr>
          <w:i/>
          <w:iCs/>
        </w:rPr>
        <w:t>« l’actualisation du fonds, plus attractif, et le retour des scolaires en bibliothèque enfants. »</w:t>
      </w:r>
      <w:r w:rsidRPr="0051571F">
        <w:rPr>
          <w:rStyle w:val="Appelnotedebasdep"/>
        </w:rPr>
        <w:footnoteReference w:id="32"/>
      </w:r>
      <w:r w:rsidRPr="0051571F">
        <w:t xml:space="preserve"> </w:t>
      </w:r>
    </w:p>
    <w:p w14:paraId="2CF73CCF" w14:textId="77777777" w:rsidR="00F734C1" w:rsidRPr="0051571F" w:rsidRDefault="00F734C1" w:rsidP="006F0AF6">
      <w:pPr>
        <w:rPr>
          <w:rFonts w:ascii="Times New Roman" w:hAnsi="Times New Roman" w:cs="Times New Roman"/>
        </w:rPr>
      </w:pPr>
    </w:p>
    <w:p w14:paraId="23E4A918" w14:textId="5F463EF3" w:rsidR="00F734C1" w:rsidRPr="006D7755" w:rsidRDefault="00F734C1" w:rsidP="00595AE9">
      <w:pPr>
        <w:pStyle w:val="PrformatHTML"/>
        <w:numPr>
          <w:ilvl w:val="0"/>
          <w:numId w:val="24"/>
        </w:numPr>
        <w:jc w:val="both"/>
        <w:outlineLvl w:val="2"/>
        <w:rPr>
          <w:rFonts w:ascii="Times New Roman" w:hAnsi="Times New Roman" w:cs="Times New Roman"/>
          <w:sz w:val="24"/>
          <w:szCs w:val="24"/>
        </w:rPr>
      </w:pPr>
      <w:bookmarkStart w:id="4" w:name="_Toc121818314"/>
      <w:r w:rsidRPr="006D7755">
        <w:rPr>
          <w:rFonts w:ascii="Times New Roman" w:hAnsi="Times New Roman" w:cs="Times New Roman"/>
          <w:sz w:val="24"/>
          <w:szCs w:val="24"/>
        </w:rPr>
        <w:t>L’audiovisuel (cinéma, vidéo, radio, télévision, filmographie)</w:t>
      </w:r>
      <w:bookmarkEnd w:id="4"/>
    </w:p>
    <w:p w14:paraId="1637B3AC" w14:textId="77777777" w:rsidR="00F734C1" w:rsidRPr="0051571F" w:rsidRDefault="00F734C1" w:rsidP="006F0AF6">
      <w:pPr>
        <w:rPr>
          <w:rFonts w:ascii="Times New Roman" w:hAnsi="Times New Roman" w:cs="Times New Roman"/>
        </w:rPr>
      </w:pPr>
    </w:p>
    <w:p w14:paraId="2AE9A1EF" w14:textId="77777777" w:rsidR="00DC65EC" w:rsidRDefault="00F734C1" w:rsidP="00DC65EC">
      <w:pPr>
        <w:pStyle w:val="NormalWeb"/>
        <w:spacing w:before="0" w:beforeAutospacing="0" w:after="0" w:afterAutospacing="0"/>
        <w:jc w:val="both"/>
      </w:pPr>
      <w:r w:rsidRPr="0051571F">
        <w:t xml:space="preserve">L’audiovisuel et les médias interactifs regroupent l’ensemble des activités liées la radiophonie, la télévision, le cinéma, production filmographique, réalisation de documentaire, les vidéos, les réseaux sociaux, lesquels sont diffusés en direct, sur les réseaux sociaux ou encore sur des supports numériques (streaming), internet et permettent la diffusion culturelle de leurs contenus.  Ces supports constituent par ailleurs le socle de diffusion des médias interactifs (jeux en ligne, sites web, réseaux sociaux, etc.). </w:t>
      </w:r>
    </w:p>
    <w:p w14:paraId="41439F32" w14:textId="7873AEFD" w:rsidR="008327E7" w:rsidRDefault="008327E7" w:rsidP="00DC65EC">
      <w:pPr>
        <w:pStyle w:val="NormalWeb"/>
        <w:spacing w:before="0" w:beforeAutospacing="0" w:after="0" w:afterAutospacing="0"/>
        <w:jc w:val="both"/>
      </w:pPr>
      <w:r>
        <w:t xml:space="preserve">Selon </w:t>
      </w:r>
      <w:r w:rsidR="00580D67">
        <w:t>l’ISPF</w:t>
      </w:r>
      <w:r>
        <w:t xml:space="preserve">, le secteur audiovisuel a connu des évolutions entre 2019 et 2022. Le nombre de professionnels dans la production de films et de programmes pour la télévision a augmenté de 23 à 39, tandis que la production de films institutionnels et publicitaires est passée de 82 à 98. En revanche, l'édition et la distribution vidéo ainsi que la projection de films </w:t>
      </w:r>
      <w:r>
        <w:lastRenderedPageBreak/>
        <w:t>cinématographiques sont restées stables. La production de films pour le cinéma a diminué, passant de 6 à 4, en raison de difficultés rencontrées par ce secteur. Les activités photographiques ont enregistré la plus forte croissance, avec une hausse de 30 personnes, passant de 147 à 177.</w:t>
      </w:r>
      <w:r w:rsidR="00DC65EC">
        <w:t xml:space="preserve"> </w:t>
      </w:r>
      <w:r>
        <w:t>En Polynésie française, il existe 2 chaînes de télévision, 3 cinémas et 3 festivals d'œuvres audiovisuelles. Entre 2009 et 2021, des réformes ont permis la professionnalisation des acteurs du secteur, avec des soutiens financiers croissants pour la création audiovisuelle. Le budget du dispositif de soutien à la création audiovisuelle et numérique (SCAN) a augmenté de 90 à 150 millions de francs. Cependant, la pandémie de Covid-19 a gravement affecté l'industrie, entraînant l'arrêt de productions et des restrictions d'accès aux événements, ce qui a limité la capacité à répondre aux besoins du marché.</w:t>
      </w:r>
    </w:p>
    <w:p w14:paraId="3217DA99" w14:textId="4A5AD0BD" w:rsidR="00F734C1" w:rsidRDefault="00F734C1" w:rsidP="006F0AF6">
      <w:pPr>
        <w:contextualSpacing/>
        <w:jc w:val="both"/>
        <w:rPr>
          <w:rFonts w:ascii="Times New Roman" w:hAnsi="Times New Roman" w:cs="Times New Roman"/>
        </w:rPr>
      </w:pPr>
    </w:p>
    <w:p w14:paraId="1906CB0A" w14:textId="78CA9666" w:rsidR="002F448B" w:rsidRPr="00286156" w:rsidRDefault="002F448B" w:rsidP="006F0AF6">
      <w:pPr>
        <w:contextualSpacing/>
        <w:jc w:val="both"/>
        <w:rPr>
          <w:rFonts w:ascii="Times New Roman" w:hAnsi="Times New Roman" w:cs="Times New Roman"/>
          <w:i/>
          <w:iCs/>
        </w:rPr>
      </w:pPr>
      <w:r w:rsidRPr="00286156">
        <w:rPr>
          <w:rFonts w:ascii="Times New Roman" w:hAnsi="Times New Roman" w:cs="Times New Roman"/>
          <w:i/>
          <w:iCs/>
        </w:rPr>
        <w:t>Étude de cas n°1</w:t>
      </w:r>
    </w:p>
    <w:p w14:paraId="5C4FC18B" w14:textId="77777777" w:rsidR="00F734C1" w:rsidRPr="0051571F" w:rsidRDefault="00F734C1" w:rsidP="003E5D71">
      <w:pPr>
        <w:contextualSpacing/>
        <w:jc w:val="both"/>
        <w:rPr>
          <w:rFonts w:ascii="Times New Roman" w:hAnsi="Times New Roman" w:cs="Times New Roman"/>
        </w:rPr>
      </w:pPr>
    </w:p>
    <w:p w14:paraId="0FEAD0A5" w14:textId="35801AEE" w:rsidR="00F734C1" w:rsidRPr="0051571F" w:rsidRDefault="003E5D71" w:rsidP="00536CCC">
      <w:pPr>
        <w:pStyle w:val="NormalWeb"/>
        <w:spacing w:before="0" w:beforeAutospacing="0" w:after="0" w:afterAutospacing="0"/>
        <w:jc w:val="both"/>
      </w:pPr>
      <w:r>
        <w:t xml:space="preserve">La 20ème édition du Festival international du film océanien (FIFO) se déroula en février 2023 à Papeete, célébrant deux décennies. Le festival </w:t>
      </w:r>
      <w:r w:rsidR="003B4C4D">
        <w:t>a proposé</w:t>
      </w:r>
      <w:r>
        <w:t xml:space="preserve"> douze films hors compétition, neuf courts-métrages documentaires, dix courts-métrages de fiction et treize films documentaires en compétition, jugés par un jury international et de jeunesse. Pour la première fois, l'événement </w:t>
      </w:r>
      <w:r w:rsidR="0004306E">
        <w:t>était</w:t>
      </w:r>
      <w:r>
        <w:t xml:space="preserve"> accessible en ligne, permettant aux spectateurs de la Polynésie française, de France métropolitaine, d'Océanie et des Outre-Mer d'y participer. Le FIFO est un important lieu de rencontre pour les professionnels de l'audiovisuel du Pacifique, qui partagent leurs expériences à travers des ateliers et des conférences. Un témoignage d'un référent du </w:t>
      </w:r>
      <w:r w:rsidR="00355A96">
        <w:t>FIFO</w:t>
      </w:r>
      <w:r>
        <w:t xml:space="preserve"> souligna l'impact de la crise sanitaire sur l'événement et ses acteurs.</w:t>
      </w:r>
      <w:r w:rsidR="00536CCC">
        <w:t xml:space="preserve"> </w:t>
      </w:r>
      <w:r w:rsidR="002B7FEC">
        <w:t>Avant la crise, l</w:t>
      </w:r>
      <w:r w:rsidR="00F734C1" w:rsidRPr="0051571F">
        <w:t xml:space="preserve">e FIFO accueillait les professionnels de la culture sur le </w:t>
      </w:r>
      <w:r w:rsidR="00F734C1" w:rsidRPr="0051571F">
        <w:rPr>
          <w:i/>
          <w:iCs/>
        </w:rPr>
        <w:t>paepae a Hiro</w:t>
      </w:r>
      <w:r w:rsidR="00F734C1" w:rsidRPr="0051571F">
        <w:t xml:space="preserve">. Des projections </w:t>
      </w:r>
      <w:r w:rsidR="0047611C">
        <w:t>avaient</w:t>
      </w:r>
      <w:r w:rsidR="00F734C1" w:rsidRPr="0051571F">
        <w:t xml:space="preserve"> lieu dans le grand et le petit théâtre. Des salles </w:t>
      </w:r>
      <w:r w:rsidR="0095213D">
        <w:t>étaient</w:t>
      </w:r>
      <w:r w:rsidR="00F734C1" w:rsidRPr="0051571F">
        <w:t xml:space="preserve"> mises à disposition des journalistes afin qu’ils puissent se retirer pour écrire leurs articles et les communiquer.</w:t>
      </w:r>
      <w:r w:rsidR="00A024CD">
        <w:t xml:space="preserve"> Durant la crise, l</w:t>
      </w:r>
      <w:r w:rsidR="00F734C1" w:rsidRPr="0051571F">
        <w:t xml:space="preserve">e FIFO de 2020 s’est déroulé dans des conditions </w:t>
      </w:r>
      <w:r w:rsidR="00376684">
        <w:t>habituelles</w:t>
      </w:r>
      <w:r w:rsidR="006B50B1">
        <w:t>.</w:t>
      </w:r>
      <w:r w:rsidR="00F734C1" w:rsidRPr="0051571F">
        <w:rPr>
          <w:rStyle w:val="Appelnotedebasdep"/>
        </w:rPr>
        <w:footnoteReference w:id="33"/>
      </w:r>
      <w:r w:rsidR="00F734C1" w:rsidRPr="0051571F">
        <w:t xml:space="preserve"> </w:t>
      </w:r>
    </w:p>
    <w:p w14:paraId="0FBCCFF6" w14:textId="61DC74CF" w:rsidR="00F734C1" w:rsidRPr="0051571F" w:rsidRDefault="00F734C1" w:rsidP="006F0AF6">
      <w:pPr>
        <w:ind w:left="567"/>
        <w:contextualSpacing/>
        <w:jc w:val="both"/>
        <w:rPr>
          <w:rFonts w:ascii="Times New Roman" w:hAnsi="Times New Roman" w:cs="Times New Roman"/>
          <w:i/>
          <w:iCs/>
        </w:rPr>
      </w:pPr>
      <w:r w:rsidRPr="0051571F">
        <w:rPr>
          <w:rFonts w:ascii="Times New Roman" w:hAnsi="Times New Roman" w:cs="Times New Roman"/>
          <w:i/>
          <w:iCs/>
        </w:rPr>
        <w:t>« La crise Covid a commencé en mars 2020 et on a eu beaucoup de chance parce qu’on a pu le faire en condition normale. Donc on a eu un festival en présentiel, on a fait venir des festivaliers du Pacifique, des États-Unis, d’Europe et pendant 10 jours tout s’est passé comme d’habitude à la maison de la culture. Les salles de projection, les salles d’atelier, les projections du FIFO sur le paepae</w:t>
      </w:r>
      <w:r w:rsidR="00D20458">
        <w:rPr>
          <w:rFonts w:ascii="Times New Roman" w:hAnsi="Times New Roman" w:cs="Times New Roman"/>
          <w:i/>
          <w:iCs/>
        </w:rPr>
        <w:t>,</w:t>
      </w:r>
      <w:r w:rsidRPr="0051571F">
        <w:rPr>
          <w:rFonts w:ascii="Times New Roman" w:hAnsi="Times New Roman" w:cs="Times New Roman"/>
          <w:i/>
          <w:iCs/>
        </w:rPr>
        <w:t xml:space="preserve"> etc. En revanche, là où ça nous a, où on a complètement changé notre fusil d’épaule</w:t>
      </w:r>
      <w:r w:rsidR="00D20458">
        <w:rPr>
          <w:rFonts w:ascii="Times New Roman" w:hAnsi="Times New Roman" w:cs="Times New Roman"/>
          <w:i/>
          <w:iCs/>
        </w:rPr>
        <w:t>,</w:t>
      </w:r>
      <w:r w:rsidRPr="0051571F">
        <w:rPr>
          <w:rFonts w:ascii="Times New Roman" w:hAnsi="Times New Roman" w:cs="Times New Roman"/>
          <w:i/>
          <w:iCs/>
        </w:rPr>
        <w:t xml:space="preserve"> c’était pour le FIFO 2021. On a donc, il y avait plusieurs mois, un an</w:t>
      </w:r>
      <w:r w:rsidR="00D20458">
        <w:rPr>
          <w:rFonts w:ascii="Times New Roman" w:hAnsi="Times New Roman" w:cs="Times New Roman"/>
          <w:i/>
          <w:iCs/>
        </w:rPr>
        <w:t>,</w:t>
      </w:r>
      <w:r w:rsidRPr="0051571F">
        <w:rPr>
          <w:rFonts w:ascii="Times New Roman" w:hAnsi="Times New Roman" w:cs="Times New Roman"/>
          <w:i/>
          <w:iCs/>
        </w:rPr>
        <w:t xml:space="preserve"> le covid qui était passé, mais nous</w:t>
      </w:r>
      <w:r w:rsidR="00D20458">
        <w:rPr>
          <w:rFonts w:ascii="Times New Roman" w:hAnsi="Times New Roman" w:cs="Times New Roman"/>
          <w:i/>
          <w:iCs/>
        </w:rPr>
        <w:t>,</w:t>
      </w:r>
      <w:r w:rsidRPr="0051571F">
        <w:rPr>
          <w:rFonts w:ascii="Times New Roman" w:hAnsi="Times New Roman" w:cs="Times New Roman"/>
          <w:i/>
          <w:iCs/>
        </w:rPr>
        <w:t xml:space="preserve"> on se retrouvait encore sous couvre-feu, il me semble, les rassemblements publics n’étaient pas autorisés, mais avec une certaine jauge et puis il y avait encore cet esprit de psychose un peu du virus et de sa propagation. Donc</w:t>
      </w:r>
      <w:r w:rsidR="00D20458">
        <w:rPr>
          <w:rFonts w:ascii="Times New Roman" w:hAnsi="Times New Roman" w:cs="Times New Roman"/>
          <w:i/>
          <w:iCs/>
        </w:rPr>
        <w:t>,</w:t>
      </w:r>
      <w:r w:rsidRPr="0051571F">
        <w:rPr>
          <w:rFonts w:ascii="Times New Roman" w:hAnsi="Times New Roman" w:cs="Times New Roman"/>
          <w:i/>
          <w:iCs/>
        </w:rPr>
        <w:t xml:space="preserve"> en 2021, on a fait un festival 100% numérique. On n’a accueilli aucun festivalier, personne n’est venu de l’extérieur, fait le déplacement jusqu’ici. On a accueilli presque pas de public sur place à la maison de la culture, les seules personnes qu’on a accueillies</w:t>
      </w:r>
      <w:r w:rsidR="00D20458">
        <w:rPr>
          <w:rFonts w:ascii="Times New Roman" w:hAnsi="Times New Roman" w:cs="Times New Roman"/>
          <w:i/>
          <w:iCs/>
        </w:rPr>
        <w:t>,</w:t>
      </w:r>
      <w:r w:rsidRPr="0051571F">
        <w:rPr>
          <w:rFonts w:ascii="Times New Roman" w:hAnsi="Times New Roman" w:cs="Times New Roman"/>
          <w:i/>
          <w:iCs/>
        </w:rPr>
        <w:t xml:space="preserve"> c’étai</w:t>
      </w:r>
      <w:r w:rsidR="00D20458">
        <w:rPr>
          <w:rFonts w:ascii="Times New Roman" w:hAnsi="Times New Roman" w:cs="Times New Roman"/>
          <w:i/>
          <w:iCs/>
        </w:rPr>
        <w:t>en</w:t>
      </w:r>
      <w:r w:rsidRPr="0051571F">
        <w:rPr>
          <w:rFonts w:ascii="Times New Roman" w:hAnsi="Times New Roman" w:cs="Times New Roman"/>
          <w:i/>
          <w:iCs/>
        </w:rPr>
        <w:t xml:space="preserve">t les participants aux ateliers d’initiation parce que cela on a pu les maintenir en réduisant le nombre de participants, en réduisant la durée des séances, voilà. </w:t>
      </w:r>
      <w:r w:rsidR="00D20458">
        <w:rPr>
          <w:rFonts w:ascii="Times New Roman" w:hAnsi="Times New Roman" w:cs="Times New Roman"/>
          <w:i/>
          <w:iCs/>
        </w:rPr>
        <w:t>Ce son</w:t>
      </w:r>
      <w:r w:rsidRPr="0051571F">
        <w:rPr>
          <w:rFonts w:ascii="Times New Roman" w:hAnsi="Times New Roman" w:cs="Times New Roman"/>
          <w:i/>
          <w:iCs/>
        </w:rPr>
        <w:t xml:space="preserve">t des choses qu’on a dû adapter pour maintenir les ateliers. Et puis en contrepartie, on a développé le volet numérique du FIFO. On a lancé la diffusion en ligne du FIFO. Ça nous a conduit à créer la première plateforme de VOD polynésienne, 100% polynésien. Voilà, c’était le programme du FIFO et à côté de ça les professionnels, c’était principalement des rencontres qui se faisaient à la maison de la culture. Y avait les colloques des TV océaniennes, des conférences, des tables rondes. Tout ça, on a dû le décliner en format numérique, en ligne, donc avec, on a principalement utilisé l’application zoom pour mettre en place tout ça. Toutes ces rencontres se faisaient en </w:t>
      </w:r>
      <w:r w:rsidRPr="0051571F">
        <w:rPr>
          <w:rFonts w:ascii="Times New Roman" w:hAnsi="Times New Roman" w:cs="Times New Roman"/>
          <w:i/>
          <w:iCs/>
        </w:rPr>
        <w:lastRenderedPageBreak/>
        <w:t>visioconférence, en zoom, ils étaient aussi disponibles en replay sur les réseaux sociaux du FIFO. »</w:t>
      </w:r>
    </w:p>
    <w:p w14:paraId="0A5AB33A" w14:textId="77777777" w:rsidR="00F734C1" w:rsidRPr="0051571F" w:rsidRDefault="00F734C1" w:rsidP="006F0AF6">
      <w:pPr>
        <w:ind w:left="567"/>
        <w:contextualSpacing/>
        <w:jc w:val="both"/>
        <w:rPr>
          <w:rFonts w:ascii="Times New Roman" w:hAnsi="Times New Roman" w:cs="Times New Roman"/>
        </w:rPr>
      </w:pPr>
      <w:r w:rsidRPr="0051571F">
        <w:rPr>
          <w:rFonts w:ascii="Times New Roman" w:hAnsi="Times New Roman" w:cs="Times New Roman"/>
        </w:rPr>
        <w:t>(extrait d’entretien)</w:t>
      </w:r>
    </w:p>
    <w:p w14:paraId="7DC1365B" w14:textId="77777777" w:rsidR="00F734C1" w:rsidRPr="0051571F" w:rsidRDefault="00F734C1" w:rsidP="006F0AF6">
      <w:pPr>
        <w:contextualSpacing/>
        <w:jc w:val="both"/>
        <w:rPr>
          <w:rFonts w:ascii="Times New Roman" w:hAnsi="Times New Roman" w:cs="Times New Roman"/>
        </w:rPr>
      </w:pPr>
    </w:p>
    <w:p w14:paraId="784F315F" w14:textId="34518957" w:rsidR="00F734C1" w:rsidRPr="0051571F" w:rsidRDefault="00F734C1" w:rsidP="006F0AF6">
      <w:pPr>
        <w:contextualSpacing/>
        <w:jc w:val="both"/>
        <w:rPr>
          <w:rFonts w:ascii="Times New Roman" w:hAnsi="Times New Roman" w:cs="Times New Roman"/>
        </w:rPr>
      </w:pPr>
      <w:r w:rsidRPr="0051571F">
        <w:rPr>
          <w:rFonts w:ascii="Times New Roman" w:hAnsi="Times New Roman" w:cs="Times New Roman"/>
        </w:rPr>
        <w:t xml:space="preserve">Selon un auteur réalisateur interrogé en ligne, l’expérience de la crise sanitaire n’a pas grandement impacté son activité. Selon lui, </w:t>
      </w:r>
      <w:r w:rsidRPr="0051571F">
        <w:rPr>
          <w:rFonts w:ascii="Times New Roman" w:hAnsi="Times New Roman" w:cs="Times New Roman"/>
          <w:i/>
          <w:iCs/>
        </w:rPr>
        <w:t>« pas de difficultés particulières rencontrées…Les annonceurs ont eu un besoin accru de communiquer au travers des spots de pub. Les consommateurs de s’évader par la consommation. Le secteur publicitaire a sans doute été impacté</w:t>
      </w:r>
      <w:r w:rsidR="00F617AC">
        <w:rPr>
          <w:rFonts w:ascii="Times New Roman" w:hAnsi="Times New Roman" w:cs="Times New Roman"/>
          <w:i/>
          <w:iCs/>
        </w:rPr>
        <w:t>,</w:t>
      </w:r>
      <w:r w:rsidRPr="0051571F">
        <w:rPr>
          <w:rFonts w:ascii="Times New Roman" w:hAnsi="Times New Roman" w:cs="Times New Roman"/>
          <w:i/>
          <w:iCs/>
        </w:rPr>
        <w:t xml:space="preserve"> mais positivement par la crise sanitaire. Les dérogations pour pouvoir tourner ont été produites en quantité. »</w:t>
      </w:r>
      <w:r w:rsidRPr="0051571F">
        <w:rPr>
          <w:rFonts w:ascii="Times New Roman" w:hAnsi="Times New Roman" w:cs="Times New Roman"/>
        </w:rPr>
        <w:t xml:space="preserve"> et </w:t>
      </w:r>
      <w:r w:rsidRPr="0051571F">
        <w:rPr>
          <w:rFonts w:ascii="Times New Roman" w:hAnsi="Times New Roman" w:cs="Times New Roman"/>
          <w:i/>
          <w:iCs/>
        </w:rPr>
        <w:t xml:space="preserve">« dans le cadre de la production de films documentaires, </w:t>
      </w:r>
      <w:r w:rsidR="00F617AC">
        <w:rPr>
          <w:rFonts w:ascii="Times New Roman" w:hAnsi="Times New Roman" w:cs="Times New Roman"/>
          <w:i/>
          <w:iCs/>
        </w:rPr>
        <w:t>c</w:t>
      </w:r>
      <w:r w:rsidRPr="0051571F">
        <w:rPr>
          <w:rFonts w:ascii="Times New Roman" w:hAnsi="Times New Roman" w:cs="Times New Roman"/>
          <w:i/>
          <w:iCs/>
        </w:rPr>
        <w:t>ertains tournages ont dû être reportés</w:t>
      </w:r>
      <w:r w:rsidR="00F617AC">
        <w:rPr>
          <w:rFonts w:ascii="Times New Roman" w:hAnsi="Times New Roman" w:cs="Times New Roman"/>
          <w:i/>
          <w:iCs/>
        </w:rPr>
        <w:t>,</w:t>
      </w:r>
      <w:r w:rsidRPr="0051571F">
        <w:rPr>
          <w:rFonts w:ascii="Times New Roman" w:hAnsi="Times New Roman" w:cs="Times New Roman"/>
          <w:i/>
          <w:iCs/>
        </w:rPr>
        <w:t xml:space="preserve"> car les gens avaient parfois peur de s’exposer, parfois étaient malades, un certain retard a été pris dans la production. En postproduction en revanche, le fait de travailler en indépendant, potentiellement dans un bureau seul a permis d’avancer sur les projets. La crise sanitaire n’a pas eu d’effets à ce niveau. »</w:t>
      </w:r>
      <w:r w:rsidRPr="0051571F">
        <w:rPr>
          <w:rFonts w:ascii="Times New Roman" w:hAnsi="Times New Roman" w:cs="Times New Roman"/>
        </w:rPr>
        <w:t xml:space="preserve"> (extrait de témoignages). La grande difficulté rencontrée a été les </w:t>
      </w:r>
      <w:r w:rsidRPr="0051571F">
        <w:rPr>
          <w:rFonts w:ascii="Times New Roman" w:hAnsi="Times New Roman" w:cs="Times New Roman"/>
          <w:i/>
          <w:iCs/>
        </w:rPr>
        <w:t>« ralentissements et désistements des acteurs dans le film documentaire. »</w:t>
      </w:r>
      <w:r w:rsidRPr="0051571F">
        <w:rPr>
          <w:rFonts w:ascii="Times New Roman" w:hAnsi="Times New Roman" w:cs="Times New Roman"/>
        </w:rPr>
        <w:t xml:space="preserve"> (extrait de témoignages)</w:t>
      </w:r>
    </w:p>
    <w:p w14:paraId="11261482" w14:textId="506E4E9A" w:rsidR="00F734C1" w:rsidRDefault="00F734C1" w:rsidP="006F0AF6">
      <w:pPr>
        <w:contextualSpacing/>
        <w:jc w:val="both"/>
        <w:rPr>
          <w:rFonts w:ascii="Times New Roman" w:hAnsi="Times New Roman" w:cs="Times New Roman"/>
        </w:rPr>
      </w:pPr>
    </w:p>
    <w:p w14:paraId="32CA583E" w14:textId="43ECDB52" w:rsidR="00980909" w:rsidRPr="006341D9" w:rsidRDefault="00980909" w:rsidP="007C3066">
      <w:pPr>
        <w:contextualSpacing/>
        <w:jc w:val="both"/>
        <w:rPr>
          <w:rFonts w:ascii="Times New Roman" w:hAnsi="Times New Roman" w:cs="Times New Roman"/>
          <w:i/>
          <w:iCs/>
        </w:rPr>
      </w:pPr>
      <w:r w:rsidRPr="006341D9">
        <w:rPr>
          <w:rFonts w:ascii="Times New Roman" w:hAnsi="Times New Roman" w:cs="Times New Roman"/>
          <w:i/>
          <w:iCs/>
        </w:rPr>
        <w:t>Étude de cas n°2</w:t>
      </w:r>
    </w:p>
    <w:p w14:paraId="3C05B8AF" w14:textId="77777777" w:rsidR="00F734C1" w:rsidRPr="0051571F" w:rsidRDefault="00F734C1" w:rsidP="007C3066">
      <w:pPr>
        <w:contextualSpacing/>
        <w:jc w:val="both"/>
        <w:rPr>
          <w:rFonts w:ascii="Times New Roman" w:hAnsi="Times New Roman" w:cs="Times New Roman"/>
        </w:rPr>
      </w:pPr>
    </w:p>
    <w:p w14:paraId="2E609D57" w14:textId="006D2674" w:rsidR="007C3066" w:rsidRDefault="007C3066" w:rsidP="007C3066">
      <w:pPr>
        <w:pStyle w:val="NormalWeb"/>
        <w:spacing w:before="0" w:beforeAutospacing="0" w:after="0" w:afterAutospacing="0"/>
        <w:jc w:val="both"/>
      </w:pPr>
      <w:r>
        <w:t xml:space="preserve">Le confinement a permis à </w:t>
      </w:r>
      <w:r w:rsidR="00600FE4">
        <w:t>TFTN</w:t>
      </w:r>
      <w:r>
        <w:t xml:space="preserve"> de moderniser sa collection de CD et DVD, en éliminant près de 4 400 documents pour conserver les plus demandés. Actuellement, la médiathèque possède environ 29 157 documents, contre 34 778 en 2020. Les « essentiels » ont été redistribués dans les bibliothèques pour enfants et adultes, renforçant ainsi l'offre de musique locale et du Pacifique. En 2021, le nombre de prêts a augmenté, atteignant 63 286, grâce à la levée des restrictions sanitaires, à l'enrichissement des fonds, notamment en BD, et au succès des animations. De plus, le Centre national du livre a accordé une subvention de 641 289 FCFP pour aider la médiathèque à relancer ses activités, et le Haut-Commissariat a fourni près de 215 000 CFP pour l'acquisition d'ouvrages neufs, favorisant ainsi l'accès à la lecture.</w:t>
      </w:r>
    </w:p>
    <w:p w14:paraId="68E5BE23" w14:textId="77777777" w:rsidR="00F734C1" w:rsidRPr="0051571F" w:rsidRDefault="00F734C1" w:rsidP="006F0AF6">
      <w:pPr>
        <w:rPr>
          <w:rFonts w:ascii="Times New Roman" w:hAnsi="Times New Roman" w:cs="Times New Roman"/>
        </w:rPr>
      </w:pPr>
    </w:p>
    <w:p w14:paraId="50BC2599" w14:textId="52D495D8" w:rsidR="00F734C1" w:rsidRPr="00AE1EC3" w:rsidRDefault="00F734C1" w:rsidP="00595AE9">
      <w:pPr>
        <w:pStyle w:val="PrformatHTML"/>
        <w:numPr>
          <w:ilvl w:val="0"/>
          <w:numId w:val="24"/>
        </w:numPr>
        <w:jc w:val="both"/>
        <w:outlineLvl w:val="2"/>
        <w:rPr>
          <w:rFonts w:ascii="Times New Roman" w:hAnsi="Times New Roman" w:cs="Times New Roman"/>
          <w:sz w:val="24"/>
          <w:szCs w:val="24"/>
        </w:rPr>
      </w:pPr>
      <w:bookmarkStart w:id="5" w:name="_Toc121818315"/>
      <w:r w:rsidRPr="00AE1EC3">
        <w:rPr>
          <w:rFonts w:ascii="Times New Roman" w:hAnsi="Times New Roman" w:cs="Times New Roman"/>
          <w:sz w:val="24"/>
          <w:szCs w:val="24"/>
        </w:rPr>
        <w:t>Le stylisme</w:t>
      </w:r>
      <w:bookmarkEnd w:id="5"/>
    </w:p>
    <w:p w14:paraId="5CFB331A" w14:textId="77777777" w:rsidR="00F734C1" w:rsidRPr="0051571F" w:rsidRDefault="00F734C1" w:rsidP="006F0AF6">
      <w:pPr>
        <w:jc w:val="both"/>
        <w:rPr>
          <w:rFonts w:ascii="Times New Roman" w:hAnsi="Times New Roman" w:cs="Times New Roman"/>
        </w:rPr>
      </w:pPr>
    </w:p>
    <w:p w14:paraId="2888851E" w14:textId="77777777" w:rsidR="009A6D41" w:rsidRPr="009A6D41" w:rsidRDefault="009A6D41" w:rsidP="009A6D41">
      <w:pPr>
        <w:pStyle w:val="NormalWeb"/>
        <w:spacing w:before="0" w:beforeAutospacing="0" w:after="0" w:afterAutospacing="0"/>
        <w:jc w:val="both"/>
      </w:pPr>
      <w:r w:rsidRPr="009A6D41">
        <w:t>Le domaine du stylisme englobe les activités et services liés à la création artistique et à la confection. Bien qu'il existe de nombreux artisans couturiers, les informations disponibles sur ce secteur sont principalement issues du code de la propriété intellectuelle et de l'art graphique. Selon l'article L.112-1 du code, l'art graphique polynésien pourrait être considéré comme une « œuvre » protégée, car il répond à certains critères de protection. Les dessins et croquis utilisés pour concevoir des costumes et des vêtements, souvent présentés lors d'événements, constituent la base de l'étude sur le stylisme en Polynésie française.</w:t>
      </w:r>
    </w:p>
    <w:p w14:paraId="12037751" w14:textId="576431D1" w:rsidR="00F734C1" w:rsidRDefault="00F734C1" w:rsidP="006F0AF6">
      <w:pPr>
        <w:pStyle w:val="NormalWeb"/>
        <w:spacing w:before="0" w:beforeAutospacing="0" w:after="0" w:afterAutospacing="0"/>
        <w:jc w:val="both"/>
      </w:pPr>
      <w:r w:rsidRPr="0051571F">
        <w:t xml:space="preserve">Selon </w:t>
      </w:r>
      <w:r w:rsidR="007A3F34">
        <w:t>l’</w:t>
      </w:r>
      <w:r w:rsidRPr="0051571F">
        <w:t>ISPF</w:t>
      </w:r>
      <w:r w:rsidR="007A3F34">
        <w:t>,</w:t>
      </w:r>
      <w:r w:rsidRPr="0051571F">
        <w:t xml:space="preserve"> le nombre de personnes enregistrées selon le code « activités spécialisées de design » regroupant les stylistes a augmenté entre 2019 et 2022 en passant de 82 à 110. Cette croissance est encore plus significative pour les personnes enregistrées dans la « fabrication de vêtements de dessus » en tant que couturière, lesquelles sont passées de 343 à 434 sur cette même période. Les personnes inscrites dans la « fabrication d’autres vêtements et accessoires » relevant également du domaine de la couture sont passé</w:t>
      </w:r>
      <w:r w:rsidR="00761FA7">
        <w:t>es</w:t>
      </w:r>
      <w:r w:rsidRPr="0051571F">
        <w:t xml:space="preserve"> de 27 à 31 entre 2019 et 2022. Comme l’artisanat, le domaine du stylisme a enregistré la plus grande progression par rapport au domaine du livre et de l’audiovisuel. </w:t>
      </w:r>
      <w:r w:rsidR="00761FA7">
        <w:t xml:space="preserve">Durant la crise sanitaire, les personnes se sont davantage tournées vers </w:t>
      </w:r>
      <w:r w:rsidRPr="0051571F">
        <w:t xml:space="preserve">le domaine </w:t>
      </w:r>
      <w:r w:rsidR="00761FA7">
        <w:t>de la création</w:t>
      </w:r>
      <w:r w:rsidRPr="0051571F">
        <w:t>.</w:t>
      </w:r>
    </w:p>
    <w:p w14:paraId="68A21B5D" w14:textId="3F6D41B2" w:rsidR="00D42341" w:rsidRDefault="00D42341" w:rsidP="006F0AF6">
      <w:pPr>
        <w:rPr>
          <w:rFonts w:ascii="Times New Roman" w:hAnsi="Times New Roman" w:cs="Times New Roman"/>
        </w:rPr>
      </w:pPr>
    </w:p>
    <w:p w14:paraId="5D7E1B4C" w14:textId="6DD9ED8B" w:rsidR="00332B2B" w:rsidRPr="005E765D" w:rsidRDefault="00332B2B" w:rsidP="006F0AF6">
      <w:pPr>
        <w:rPr>
          <w:rFonts w:ascii="Times New Roman" w:hAnsi="Times New Roman" w:cs="Times New Roman"/>
          <w:i/>
          <w:iCs/>
        </w:rPr>
      </w:pPr>
      <w:r w:rsidRPr="005E765D">
        <w:rPr>
          <w:rFonts w:ascii="Times New Roman" w:hAnsi="Times New Roman" w:cs="Times New Roman"/>
          <w:i/>
          <w:iCs/>
        </w:rPr>
        <w:t>Étude de cas n°1</w:t>
      </w:r>
    </w:p>
    <w:p w14:paraId="560D7C11" w14:textId="77777777" w:rsidR="00F734C1" w:rsidRPr="0051571F" w:rsidRDefault="00F734C1" w:rsidP="005E765D">
      <w:pPr>
        <w:jc w:val="both"/>
        <w:rPr>
          <w:rFonts w:ascii="Times New Roman" w:hAnsi="Times New Roman" w:cs="Times New Roman"/>
        </w:rPr>
      </w:pPr>
    </w:p>
    <w:p w14:paraId="247CA390" w14:textId="6FCF0777" w:rsidR="005E765D" w:rsidRPr="005E765D" w:rsidRDefault="005E765D" w:rsidP="00330FF7">
      <w:p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lastRenderedPageBreak/>
        <w:t xml:space="preserve">Lors de la 22ème édition du Salon </w:t>
      </w:r>
      <w:r w:rsidRPr="008332DE">
        <w:rPr>
          <w:rFonts w:ascii="Times New Roman" w:eastAsia="Times New Roman" w:hAnsi="Times New Roman" w:cs="Times New Roman"/>
          <w:i/>
          <w:iCs/>
          <w:lang w:val="fr-PF" w:eastAsia="fr-FR"/>
        </w:rPr>
        <w:t>Made in Fenua</w:t>
      </w:r>
      <w:r w:rsidRPr="005E765D">
        <w:rPr>
          <w:rFonts w:ascii="Times New Roman" w:eastAsia="Times New Roman" w:hAnsi="Times New Roman" w:cs="Times New Roman"/>
          <w:lang w:val="fr-PF" w:eastAsia="fr-FR"/>
        </w:rPr>
        <w:t>, qui s'est déroulée du 27 au 30 octobre 2022 à Papeete, 26 artisans du textile ont exposé principalement des robes aux imprimés locaux. Parmi eux, 15 ont répondu à une enquête, représentant environ 58% des exposants, tandis que 3 ont refusé de participer.</w:t>
      </w:r>
      <w:r w:rsidR="00B64BD7">
        <w:rPr>
          <w:rFonts w:ascii="Times New Roman" w:eastAsia="Times New Roman" w:hAnsi="Times New Roman" w:cs="Times New Roman"/>
          <w:lang w:eastAsia="fr-FR"/>
        </w:rPr>
        <w:t xml:space="preserve"> </w:t>
      </w:r>
      <w:r w:rsidRPr="005E765D">
        <w:rPr>
          <w:rFonts w:ascii="Times New Roman" w:eastAsia="Times New Roman" w:hAnsi="Times New Roman" w:cs="Times New Roman"/>
          <w:lang w:val="fr-PF" w:eastAsia="fr-FR"/>
        </w:rPr>
        <w:t>L'analyse des données révèle cinq points principaux :</w:t>
      </w:r>
    </w:p>
    <w:p w14:paraId="5C9B8E12" w14:textId="77777777" w:rsidR="005E765D" w:rsidRPr="005E765D" w:rsidRDefault="005E765D" w:rsidP="005214F4">
      <w:pPr>
        <w:numPr>
          <w:ilvl w:val="0"/>
          <w:numId w:val="31"/>
        </w:num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t>Tous les exposants sont des artisanes couturières qui se considèrent comme stylistes, utilisant un savoir-faire en confection et mode, comprenant croquis, coupe, couture et essayage de leurs créations.</w:t>
      </w:r>
    </w:p>
    <w:p w14:paraId="56A642AC" w14:textId="77777777" w:rsidR="005E765D" w:rsidRPr="005E765D" w:rsidRDefault="005E765D" w:rsidP="005214F4">
      <w:pPr>
        <w:numPr>
          <w:ilvl w:val="0"/>
          <w:numId w:val="31"/>
        </w:num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t>Deux des artisanes interrogées, retraitées et organisées en association, n'ont reçu aucune aide en raison de leur statut associatif. L'une d'elles complète sa retraite par la vente de ses robes.</w:t>
      </w:r>
    </w:p>
    <w:p w14:paraId="43589D2C" w14:textId="77777777" w:rsidR="005E765D" w:rsidRPr="005E765D" w:rsidRDefault="005E765D" w:rsidP="005214F4">
      <w:pPr>
        <w:numPr>
          <w:ilvl w:val="0"/>
          <w:numId w:val="31"/>
        </w:num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t>Les 13 autres artisanes sont des couturières indépendantes, principalement actives en Polynésie française, dont la clientèle est majoritairement locale. Elles dépendent des salons comme le Salon Made in Fenua pour vendre et développer leur clientèle.</w:t>
      </w:r>
    </w:p>
    <w:p w14:paraId="39926EE9" w14:textId="77777777" w:rsidR="005E765D" w:rsidRPr="005E765D" w:rsidRDefault="005E765D" w:rsidP="005214F4">
      <w:pPr>
        <w:numPr>
          <w:ilvl w:val="0"/>
          <w:numId w:val="31"/>
        </w:num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t>Parmi les 15 artisanes, 10 ont reçu une aide de l'État, alors que 3 ont choisi de ne pas en bénéficier, leur activité n'ayant pas été fortement impactée par la crise. Les deux artisanes en association n'ont reçu aucune aide.</w:t>
      </w:r>
    </w:p>
    <w:p w14:paraId="41B5B6E3" w14:textId="77777777" w:rsidR="005E765D" w:rsidRPr="005E765D" w:rsidRDefault="005E765D" w:rsidP="005214F4">
      <w:pPr>
        <w:numPr>
          <w:ilvl w:val="0"/>
          <w:numId w:val="31"/>
        </w:num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t>Les aides ont principalement été utilisées par 8 artisanes pour l'achat de matières premières, et 2 pour des denrées alimentaires.</w:t>
      </w:r>
    </w:p>
    <w:p w14:paraId="6577426A" w14:textId="77777777" w:rsidR="004741C5" w:rsidRDefault="004741C5" w:rsidP="00330FF7">
      <w:pPr>
        <w:jc w:val="both"/>
        <w:rPr>
          <w:rFonts w:ascii="Times New Roman" w:eastAsia="Times New Roman" w:hAnsi="Times New Roman" w:cs="Times New Roman"/>
          <w:lang w:val="fr-PF" w:eastAsia="fr-FR"/>
        </w:rPr>
      </w:pPr>
    </w:p>
    <w:p w14:paraId="5D3AE95C" w14:textId="214A3906" w:rsidR="00F734C1" w:rsidRPr="00342938" w:rsidRDefault="005E765D" w:rsidP="006F0AF6">
      <w:pPr>
        <w:jc w:val="both"/>
        <w:rPr>
          <w:rFonts w:ascii="Times New Roman" w:eastAsia="Times New Roman" w:hAnsi="Times New Roman" w:cs="Times New Roman"/>
          <w:lang w:val="fr-PF" w:eastAsia="fr-FR"/>
        </w:rPr>
      </w:pPr>
      <w:r w:rsidRPr="005E765D">
        <w:rPr>
          <w:rFonts w:ascii="Times New Roman" w:eastAsia="Times New Roman" w:hAnsi="Times New Roman" w:cs="Times New Roman"/>
          <w:lang w:val="fr-PF" w:eastAsia="fr-FR"/>
        </w:rPr>
        <w:t>Avant la crise sanitaire, 14 artisanes tiraient un revenu notable de leur activité, avec la vente en ligne comme principal moyen de promotion. Pendant la crise, elles ont continué à confectionner des articles pour être prêtes à la réouverture des salons et à maintenir leur activité en ligne.</w:t>
      </w:r>
      <w:r w:rsidR="00342938">
        <w:rPr>
          <w:rFonts w:ascii="Times New Roman" w:eastAsia="Times New Roman" w:hAnsi="Times New Roman" w:cs="Times New Roman"/>
          <w:lang w:eastAsia="fr-FR"/>
        </w:rPr>
        <w:t xml:space="preserve"> </w:t>
      </w:r>
      <w:r w:rsidR="00F734C1" w:rsidRPr="0051571F">
        <w:rPr>
          <w:rFonts w:ascii="Times New Roman" w:hAnsi="Times New Roman" w:cs="Times New Roman"/>
        </w:rPr>
        <w:t>Pour 12 artisanes, la crise a été difficile à vivre car les ventes avaient fortement baissé.</w:t>
      </w:r>
      <w:r w:rsidR="00811783">
        <w:rPr>
          <w:rFonts w:ascii="Times New Roman" w:hAnsi="Times New Roman" w:cs="Times New Roman"/>
        </w:rPr>
        <w:t xml:space="preserve"> </w:t>
      </w:r>
      <w:r w:rsidR="00F734C1" w:rsidRPr="0051571F">
        <w:rPr>
          <w:rFonts w:ascii="Times New Roman" w:hAnsi="Times New Roman" w:cs="Times New Roman"/>
        </w:rPr>
        <w:t>Elles ont qualifié la crise de :</w:t>
      </w:r>
    </w:p>
    <w:p w14:paraId="72D6E601" w14:textId="77777777" w:rsidR="00F734C1" w:rsidRPr="0051571F" w:rsidRDefault="00F734C1" w:rsidP="006F0AF6">
      <w:pPr>
        <w:pBdr>
          <w:left w:val="single" w:sz="4" w:space="4" w:color="auto"/>
        </w:pBdr>
        <w:ind w:left="567"/>
        <w:jc w:val="both"/>
        <w:rPr>
          <w:rFonts w:ascii="Times New Roman" w:hAnsi="Times New Roman" w:cs="Times New Roman"/>
        </w:rPr>
      </w:pPr>
      <w:r w:rsidRPr="0051571F">
        <w:rPr>
          <w:rFonts w:ascii="Times New Roman" w:hAnsi="Times New Roman" w:cs="Times New Roman"/>
          <w:i/>
          <w:iCs/>
        </w:rPr>
        <w:t>« très mal »</w:t>
      </w:r>
      <w:r w:rsidRPr="0051571F">
        <w:rPr>
          <w:rFonts w:ascii="Times New Roman" w:hAnsi="Times New Roman" w:cs="Times New Roman"/>
        </w:rPr>
        <w:t xml:space="preserve">, </w:t>
      </w:r>
      <w:r w:rsidRPr="0051571F">
        <w:rPr>
          <w:rFonts w:ascii="Times New Roman" w:hAnsi="Times New Roman" w:cs="Times New Roman"/>
          <w:i/>
          <w:iCs/>
        </w:rPr>
        <w:t>« calme plat »</w:t>
      </w:r>
      <w:r w:rsidRPr="0051571F">
        <w:rPr>
          <w:rFonts w:ascii="Times New Roman" w:hAnsi="Times New Roman" w:cs="Times New Roman"/>
        </w:rPr>
        <w:t xml:space="preserve">, </w:t>
      </w:r>
      <w:r w:rsidRPr="0051571F">
        <w:rPr>
          <w:rFonts w:ascii="Times New Roman" w:hAnsi="Times New Roman" w:cs="Times New Roman"/>
          <w:i/>
          <w:iCs/>
        </w:rPr>
        <w:t>« n’avait rien, pas de clientèle parce que fermés, pas d’expos »</w:t>
      </w:r>
      <w:r w:rsidRPr="0051571F">
        <w:rPr>
          <w:rFonts w:ascii="Times New Roman" w:hAnsi="Times New Roman" w:cs="Times New Roman"/>
        </w:rPr>
        <w:t xml:space="preserve">, </w:t>
      </w:r>
      <w:r w:rsidRPr="0051571F">
        <w:rPr>
          <w:rFonts w:ascii="Times New Roman" w:hAnsi="Times New Roman" w:cs="Times New Roman"/>
          <w:i/>
          <w:iCs/>
        </w:rPr>
        <w:t>« très dur »</w:t>
      </w:r>
      <w:r w:rsidRPr="0051571F">
        <w:rPr>
          <w:rFonts w:ascii="Times New Roman" w:hAnsi="Times New Roman" w:cs="Times New Roman"/>
        </w:rPr>
        <w:t xml:space="preserve"> </w:t>
      </w:r>
    </w:p>
    <w:p w14:paraId="4F77AC06"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(extraits d’entretiens)</w:t>
      </w:r>
    </w:p>
    <w:p w14:paraId="3D0F4FE0" w14:textId="77777777" w:rsidR="00F734C1" w:rsidRPr="0051571F" w:rsidRDefault="00F734C1" w:rsidP="006F0AF6">
      <w:pPr>
        <w:jc w:val="both"/>
        <w:rPr>
          <w:rFonts w:ascii="Times New Roman" w:hAnsi="Times New Roman" w:cs="Times New Roman"/>
        </w:rPr>
      </w:pPr>
    </w:p>
    <w:p w14:paraId="0F781B38"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rPr>
        <w:t>Le chiffre d’affaires a diminué de la manière suivante :</w:t>
      </w:r>
    </w:p>
    <w:p w14:paraId="0C7B556F" w14:textId="77777777" w:rsidR="00F734C1" w:rsidRPr="0051571F" w:rsidRDefault="00F734C1" w:rsidP="00AD2969">
      <w:pPr>
        <w:pStyle w:val="Paragraphedeliste"/>
        <w:numPr>
          <w:ilvl w:val="0"/>
          <w:numId w:val="28"/>
        </w:numPr>
        <w:jc w:val="both"/>
      </w:pPr>
      <w:r w:rsidRPr="0051571F">
        <w:t xml:space="preserve">Pour 3 d’entre elles, le chiffre d’affaires a baissé d’environ 80% ; </w:t>
      </w:r>
    </w:p>
    <w:p w14:paraId="72894290" w14:textId="77777777" w:rsidR="00F734C1" w:rsidRPr="0051571F" w:rsidRDefault="00F734C1" w:rsidP="00AD2969">
      <w:pPr>
        <w:pStyle w:val="Paragraphedeliste"/>
        <w:numPr>
          <w:ilvl w:val="0"/>
          <w:numId w:val="28"/>
        </w:numPr>
        <w:jc w:val="both"/>
      </w:pPr>
      <w:r w:rsidRPr="0051571F">
        <w:t>Pour 3 autres, il a baissé d’environ 50% ;</w:t>
      </w:r>
    </w:p>
    <w:p w14:paraId="16CB73D8" w14:textId="77777777" w:rsidR="00F734C1" w:rsidRPr="0051571F" w:rsidRDefault="00F734C1" w:rsidP="00AD2969">
      <w:pPr>
        <w:pStyle w:val="Paragraphedeliste"/>
        <w:numPr>
          <w:ilvl w:val="0"/>
          <w:numId w:val="28"/>
        </w:numPr>
        <w:jc w:val="both"/>
      </w:pPr>
      <w:r w:rsidRPr="0051571F">
        <w:t xml:space="preserve">Et pour les 6 dernières, la diminution est estimée entre 15 et 20%. </w:t>
      </w:r>
    </w:p>
    <w:p w14:paraId="1627DDBE" w14:textId="77777777" w:rsidR="00F734C1" w:rsidRPr="0051571F" w:rsidRDefault="00F734C1" w:rsidP="004C430D">
      <w:pPr>
        <w:jc w:val="both"/>
        <w:rPr>
          <w:rFonts w:ascii="Times New Roman" w:hAnsi="Times New Roman" w:cs="Times New Roman"/>
        </w:rPr>
      </w:pPr>
    </w:p>
    <w:p w14:paraId="6CE2C69F" w14:textId="77777777" w:rsidR="004C430D" w:rsidRDefault="005B24B4" w:rsidP="004C430D">
      <w:pPr>
        <w:pStyle w:val="NormalWeb"/>
        <w:spacing w:before="0" w:beforeAutospacing="0" w:after="0" w:afterAutospacing="0"/>
        <w:jc w:val="both"/>
      </w:pPr>
      <w:r w:rsidRPr="005B24B4">
        <w:t xml:space="preserve">La crise a particulièrement impacté les couturières, dont l'activité dépend principalement des </w:t>
      </w:r>
      <w:r w:rsidR="004C430D">
        <w:t>Les ventes des artisans lors des expositions et salons ont été freinées par les restrictions sanitaires. Bien que la vente en ligne sur Facebook ait permis un maintien d'activité, cela n'a pas suffi à retrouver les conditions d'avant Covid. Les couturières doivent désormais sponsoriser leurs publicités et dépendent des événements en présentiel. Cependant, trois artisanes ont réussi à maintenir leur activité grâce à des commandes de masques et de maillots de bain, évitant ainsi les aides publiques. Contrairement à d'autres, elles n'ont pas diversifié leurs activités ni demandé d'aides familiales, montrant une certaine indépendance vis-à-vis de l'artisanat traditionnel. La notion de « débrouille » est courante parmi les artisans, soulignant leur résilience face à la crise.</w:t>
      </w:r>
    </w:p>
    <w:p w14:paraId="14B6C287" w14:textId="5093A076" w:rsidR="00F734C1" w:rsidRPr="0051571F" w:rsidRDefault="004C430D" w:rsidP="004C430D">
      <w:pPr>
        <w:pStyle w:val="NormalWeb"/>
        <w:spacing w:before="0" w:beforeAutospacing="0" w:after="0" w:afterAutospacing="0"/>
        <w:jc w:val="both"/>
      </w:pPr>
      <w:r>
        <w:t xml:space="preserve">Après la sortie de la crise sanitaire, deux moments importants se sont succédé : la levée des restrictions sanitaires et un climat inflationniste. Les données montrent qu'à la levée des restrictions, la clientèle polynésienne a été particulièrement dépensière. </w:t>
      </w:r>
      <w:r w:rsidR="00F734C1" w:rsidRPr="0051571F">
        <w:t>Pour certaines couturières :</w:t>
      </w:r>
    </w:p>
    <w:p w14:paraId="479C6E11" w14:textId="2C608355" w:rsidR="00F734C1" w:rsidRPr="0051571F" w:rsidRDefault="00F734C1" w:rsidP="006F0AF6">
      <w:pPr>
        <w:pBdr>
          <w:left w:val="single" w:sz="4" w:space="4" w:color="auto"/>
        </w:pBdr>
        <w:ind w:left="567"/>
        <w:jc w:val="both"/>
        <w:rPr>
          <w:rFonts w:ascii="Times New Roman" w:hAnsi="Times New Roman" w:cs="Times New Roman"/>
        </w:rPr>
      </w:pPr>
      <w:r w:rsidRPr="0051571F">
        <w:rPr>
          <w:rFonts w:ascii="Times New Roman" w:hAnsi="Times New Roman" w:cs="Times New Roman"/>
          <w:i/>
          <w:iCs/>
        </w:rPr>
        <w:t>« les gens ont dépensé sans regarder. Ils ont dépensé parce qu’ils retrouvaient leur liberté. Ils ont dépensé tou</w:t>
      </w:r>
      <w:r w:rsidR="00BB79DC">
        <w:rPr>
          <w:rFonts w:ascii="Times New Roman" w:hAnsi="Times New Roman" w:cs="Times New Roman"/>
          <w:i/>
          <w:iCs/>
        </w:rPr>
        <w:t>t</w:t>
      </w:r>
      <w:r w:rsidRPr="0051571F">
        <w:rPr>
          <w:rFonts w:ascii="Times New Roman" w:hAnsi="Times New Roman" w:cs="Times New Roman"/>
          <w:i/>
          <w:iCs/>
        </w:rPr>
        <w:t xml:space="preserve"> ce qu’ils n’ont pas dépensé durant le confinement. Ils avaient besoin de dépenser, de vivre, d’être libres »</w:t>
      </w:r>
      <w:r w:rsidRPr="0051571F">
        <w:rPr>
          <w:rFonts w:ascii="Times New Roman" w:hAnsi="Times New Roman" w:cs="Times New Roman"/>
        </w:rPr>
        <w:t xml:space="preserve">, pour d’autres, </w:t>
      </w:r>
      <w:r w:rsidRPr="0051571F">
        <w:rPr>
          <w:rFonts w:ascii="Times New Roman" w:hAnsi="Times New Roman" w:cs="Times New Roman"/>
          <w:i/>
          <w:iCs/>
        </w:rPr>
        <w:t xml:space="preserve">« y avait des femmes qui </w:t>
      </w:r>
      <w:r w:rsidRPr="0051571F">
        <w:rPr>
          <w:rFonts w:ascii="Times New Roman" w:hAnsi="Times New Roman" w:cs="Times New Roman"/>
          <w:i/>
          <w:iCs/>
        </w:rPr>
        <w:lastRenderedPageBreak/>
        <w:t>prenaient une, deux robes et la semaine d’après, elles revenaient pour acheter encore des robes. Moi je disais, je ne t’ai pas déjà vu la semaine dernière ? Et la cliente me disait, j’ai une soirée et je ne vais pas remettre la même robe »</w:t>
      </w:r>
      <w:r w:rsidRPr="0051571F">
        <w:rPr>
          <w:rFonts w:ascii="Times New Roman" w:hAnsi="Times New Roman" w:cs="Times New Roman"/>
        </w:rPr>
        <w:t xml:space="preserve">. </w:t>
      </w:r>
    </w:p>
    <w:p w14:paraId="020874AC"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(extraits d’entretiens)</w:t>
      </w:r>
    </w:p>
    <w:p w14:paraId="19709BF1" w14:textId="77777777" w:rsidR="00F734C1" w:rsidRPr="0051571F" w:rsidRDefault="00F734C1" w:rsidP="00382FF4">
      <w:pPr>
        <w:jc w:val="both"/>
        <w:rPr>
          <w:rFonts w:ascii="Times New Roman" w:hAnsi="Times New Roman" w:cs="Times New Roman"/>
        </w:rPr>
      </w:pPr>
    </w:p>
    <w:p w14:paraId="4E890502" w14:textId="1510143F" w:rsidR="00382FF4" w:rsidRDefault="00382FF4" w:rsidP="00382FF4">
      <w:pPr>
        <w:pStyle w:val="NormalWeb"/>
        <w:spacing w:before="0" w:beforeAutospacing="0" w:after="0" w:afterAutospacing="0"/>
        <w:jc w:val="both"/>
      </w:pPr>
      <w:r>
        <w:t>Le climat inflationniste, provoqué par divers facteurs tels que la reprise économique, les tensions géopolitiques en Europe et l'instauration d'une nouvelle taxe, a rendu les clients des couturières plus hésitants dans leurs achats. Les priorités se sont déplacées vers les besoins essentiels comme l'alimentation et le logement, reléguant les dépenses vestimentaires au second plan. Bien que les ventes aient augmenté après le premier confinement, elles sont désormais rares, malgré la réouverture des frontières et la levée des restrictions sanitaires. Les 12 artisanes, dont le chiffre d'affaires avait déjà chuté de 15 à 80 % durant la crise, continuent de souffrir de cette situation, aggravée par l'absence d'aide et l'inflation des prix.</w:t>
      </w:r>
    </w:p>
    <w:p w14:paraId="0A0D8402" w14:textId="18E2EBF4" w:rsidR="00F734C1" w:rsidRDefault="00F734C1" w:rsidP="00382FF4">
      <w:pPr>
        <w:jc w:val="both"/>
        <w:rPr>
          <w:rFonts w:ascii="Times New Roman" w:hAnsi="Times New Roman" w:cs="Times New Roman"/>
        </w:rPr>
      </w:pPr>
    </w:p>
    <w:p w14:paraId="5482A92F" w14:textId="44812625" w:rsidR="0024533D" w:rsidRPr="0024533D" w:rsidRDefault="0024533D" w:rsidP="00382FF4">
      <w:pPr>
        <w:jc w:val="both"/>
        <w:rPr>
          <w:rFonts w:ascii="Times New Roman" w:hAnsi="Times New Roman" w:cs="Times New Roman"/>
          <w:i/>
          <w:iCs/>
        </w:rPr>
      </w:pPr>
      <w:r w:rsidRPr="0024533D">
        <w:rPr>
          <w:rFonts w:ascii="Times New Roman" w:hAnsi="Times New Roman" w:cs="Times New Roman"/>
          <w:i/>
          <w:iCs/>
        </w:rPr>
        <w:t>Étude de cas n°2</w:t>
      </w:r>
    </w:p>
    <w:p w14:paraId="38AA5762" w14:textId="77777777" w:rsidR="00F734C1" w:rsidRPr="0051571F" w:rsidRDefault="00F734C1" w:rsidP="00CF7F63">
      <w:pPr>
        <w:jc w:val="both"/>
        <w:rPr>
          <w:rFonts w:ascii="Times New Roman" w:hAnsi="Times New Roman" w:cs="Times New Roman"/>
        </w:rPr>
      </w:pPr>
    </w:p>
    <w:p w14:paraId="1A088FD3" w14:textId="7F85D3E3" w:rsidR="00CF7F63" w:rsidRPr="00CF7F63" w:rsidRDefault="00CF7F63" w:rsidP="00CF7F63">
      <w:p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Une collecte de données a été menée auprès d'artisans couturiers et stylistes à Papeete, se concentrant sur ceux qui vendent des vêtements produits localement. Les vêtements importés ont été exclus pour ne pas inclure les couturières de la région. Sur 22 artisans contactés, 11 ont répondu, 2 n'ont pas pu répondre à cause de l'affluence, et 9 ont refusé, souvent par méfiance envers l'étude.</w:t>
      </w:r>
      <w:r w:rsidR="0043752A">
        <w:rPr>
          <w:rFonts w:ascii="Times New Roman" w:eastAsia="Times New Roman" w:hAnsi="Times New Roman" w:cs="Times New Roman"/>
          <w:lang w:eastAsia="fr-FR"/>
        </w:rPr>
        <w:t xml:space="preserve"> </w:t>
      </w:r>
      <w:r w:rsidRPr="00CF7F63">
        <w:rPr>
          <w:rFonts w:ascii="Times New Roman" w:eastAsia="Times New Roman" w:hAnsi="Times New Roman" w:cs="Times New Roman"/>
          <w:lang w:val="fr-PF" w:eastAsia="fr-FR"/>
        </w:rPr>
        <w:t>L'analyse des réponses révèle plusieurs points clés :</w:t>
      </w:r>
    </w:p>
    <w:p w14:paraId="558244FA"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La clientèle est principalement locale, avec peu de touristes achetant des vêtements.</w:t>
      </w:r>
    </w:p>
    <w:p w14:paraId="019D14EC"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Les anciennes boutiques préfèrent acheter des vêtements à l'étranger plutôt que de faire appel aux couturières locales, en raison des coûts de main-d'œuvre trop élevés.</w:t>
      </w:r>
    </w:p>
    <w:p w14:paraId="02385D02"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La crise sanitaire a eu un impact négatif, avec une perte de chiffre d'affaires estimée entre 30 et 80%.</w:t>
      </w:r>
    </w:p>
    <w:p w14:paraId="4754BCD7"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Avant la crise, la situation était plus favorable, mais les fermetures de boutiques ont compliqué les affaires, à l'exception d'une artisan qui a développé une vente en ligne.</w:t>
      </w:r>
    </w:p>
    <w:p w14:paraId="18DD6267"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La levée des restrictions a également été difficile, les achats restant rares à cause de l'inflation.</w:t>
      </w:r>
    </w:p>
    <w:p w14:paraId="0014CFEE"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La vente en ligne a permis quelques ventes durant les confinements, mais n'a pas suffi à rétablir la situation économique antérieure.</w:t>
      </w:r>
    </w:p>
    <w:p w14:paraId="39798E04"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Parmi les 11 artisanes, 3 participent à des expositions extérieures, tandis que d'autres vendent uniquement en boutique.</w:t>
      </w:r>
    </w:p>
    <w:p w14:paraId="0749FDE9"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Certaines artisanes n'ont pas de local et dépendent de boutiques pour vendre leurs créations.</w:t>
      </w:r>
    </w:p>
    <w:p w14:paraId="3C9E7537" w14:textId="77777777" w:rsidR="00CF7F63" w:rsidRPr="00CF7F63" w:rsidRDefault="00CF7F63" w:rsidP="00CF7F63">
      <w:pPr>
        <w:numPr>
          <w:ilvl w:val="0"/>
          <w:numId w:val="33"/>
        </w:numPr>
        <w:jc w:val="both"/>
        <w:rPr>
          <w:rFonts w:ascii="Times New Roman" w:eastAsia="Times New Roman" w:hAnsi="Times New Roman" w:cs="Times New Roman"/>
          <w:lang w:val="fr-PF" w:eastAsia="fr-FR"/>
        </w:rPr>
      </w:pPr>
      <w:r w:rsidRPr="00CF7F63">
        <w:rPr>
          <w:rFonts w:ascii="Times New Roman" w:eastAsia="Times New Roman" w:hAnsi="Times New Roman" w:cs="Times New Roman"/>
          <w:lang w:val="fr-PF" w:eastAsia="fr-FR"/>
        </w:rPr>
        <w:t>Le temps de travail pour chaque création est considérable, atteignant jusqu'à 13 heures par jour.</w:t>
      </w:r>
    </w:p>
    <w:p w14:paraId="42776098" w14:textId="77777777" w:rsidR="00F734C1" w:rsidRPr="0051571F" w:rsidRDefault="00F734C1" w:rsidP="00CF7F63">
      <w:pPr>
        <w:ind w:left="360"/>
        <w:jc w:val="both"/>
        <w:rPr>
          <w:rFonts w:ascii="Times New Roman" w:hAnsi="Times New Roman" w:cs="Times New Roman"/>
        </w:rPr>
      </w:pPr>
    </w:p>
    <w:p w14:paraId="78C16DCC" w14:textId="77777777" w:rsidR="00F734C1" w:rsidRPr="0051571F" w:rsidRDefault="00F734C1" w:rsidP="006F0AF6">
      <w:pPr>
        <w:jc w:val="both"/>
        <w:rPr>
          <w:rFonts w:ascii="Times New Roman" w:hAnsi="Times New Roman" w:cs="Times New Roman"/>
          <w:i/>
          <w:iCs/>
        </w:rPr>
      </w:pPr>
      <w:r w:rsidRPr="0051571F">
        <w:rPr>
          <w:rFonts w:ascii="Times New Roman" w:hAnsi="Times New Roman" w:cs="Times New Roman"/>
          <w:i/>
          <w:iCs/>
        </w:rPr>
        <w:t>Avant la crise sanitaire</w:t>
      </w:r>
    </w:p>
    <w:p w14:paraId="628BA6D3" w14:textId="28833BC5" w:rsidR="00F734C1" w:rsidRPr="0051571F" w:rsidRDefault="00F734C1" w:rsidP="006F0AF6">
      <w:pPr>
        <w:jc w:val="both"/>
        <w:rPr>
          <w:rFonts w:ascii="Times New Roman" w:hAnsi="Times New Roman" w:cs="Times New Roman"/>
        </w:rPr>
      </w:pPr>
      <w:r w:rsidRPr="0051571F">
        <w:rPr>
          <w:rFonts w:ascii="Times New Roman" w:hAnsi="Times New Roman" w:cs="Times New Roman"/>
        </w:rPr>
        <w:t>La période d’avant C</w:t>
      </w:r>
      <w:r w:rsidR="001031D4">
        <w:rPr>
          <w:rFonts w:ascii="Times New Roman" w:hAnsi="Times New Roman" w:cs="Times New Roman"/>
        </w:rPr>
        <w:t>ovid</w:t>
      </w:r>
      <w:r w:rsidRPr="0051571F">
        <w:rPr>
          <w:rFonts w:ascii="Times New Roman" w:hAnsi="Times New Roman" w:cs="Times New Roman"/>
        </w:rPr>
        <w:t xml:space="preserve"> était bénéfique pour les artisans couturiers et les stylistes. Les ventes permettaient d’accéder à une ressource économique notable. Pour P, rencontrée dans sa boutique de prêt-à-porter aux alentours du marché de Papeete :</w:t>
      </w:r>
    </w:p>
    <w:p w14:paraId="6969E900" w14:textId="77777777" w:rsidR="00F734C1" w:rsidRPr="0051571F" w:rsidRDefault="00F734C1" w:rsidP="006F0AF6">
      <w:pPr>
        <w:pBdr>
          <w:left w:val="single" w:sz="4" w:space="4" w:color="auto"/>
        </w:pBdr>
        <w:ind w:left="567"/>
        <w:jc w:val="both"/>
        <w:rPr>
          <w:rFonts w:ascii="Times New Roman" w:hAnsi="Times New Roman" w:cs="Times New Roman"/>
          <w:i/>
          <w:iCs/>
        </w:rPr>
      </w:pPr>
      <w:r w:rsidRPr="0051571F">
        <w:rPr>
          <w:rFonts w:ascii="Times New Roman" w:hAnsi="Times New Roman" w:cs="Times New Roman"/>
          <w:i/>
          <w:iCs/>
        </w:rPr>
        <w:t>« Y avait des commandes, les robes se vendaient bien »</w:t>
      </w:r>
    </w:p>
    <w:p w14:paraId="272BC263"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 d’entretien)</w:t>
      </w:r>
    </w:p>
    <w:p w14:paraId="57D09175" w14:textId="77777777" w:rsidR="00F734C1" w:rsidRPr="0051571F" w:rsidRDefault="00F734C1" w:rsidP="006F0AF6">
      <w:pPr>
        <w:jc w:val="both"/>
        <w:rPr>
          <w:rFonts w:ascii="Times New Roman" w:hAnsi="Times New Roman" w:cs="Times New Roman"/>
        </w:rPr>
      </w:pPr>
    </w:p>
    <w:p w14:paraId="77691D0D"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rPr>
        <w:t>Pour B, rencontrée dans une boutique à proximité du « fare loto de Papeete » :</w:t>
      </w:r>
    </w:p>
    <w:p w14:paraId="26A34309" w14:textId="77777777" w:rsidR="00F734C1" w:rsidRPr="0051571F" w:rsidRDefault="00F734C1" w:rsidP="006F0AF6">
      <w:pPr>
        <w:pBdr>
          <w:left w:val="single" w:sz="4" w:space="4" w:color="auto"/>
        </w:pBdr>
        <w:ind w:left="567"/>
        <w:jc w:val="both"/>
        <w:rPr>
          <w:rFonts w:ascii="Times New Roman" w:hAnsi="Times New Roman" w:cs="Times New Roman"/>
          <w:i/>
          <w:iCs/>
        </w:rPr>
      </w:pPr>
      <w:r w:rsidRPr="0051571F">
        <w:rPr>
          <w:rFonts w:ascii="Times New Roman" w:hAnsi="Times New Roman" w:cs="Times New Roman"/>
          <w:i/>
          <w:iCs/>
        </w:rPr>
        <w:t>« Difficile. La crise était difficile car les boutiques ont fermé. Pas d’exposition vente en dehors de la boutique »</w:t>
      </w:r>
    </w:p>
    <w:p w14:paraId="64869BF5"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 d’entretien)</w:t>
      </w:r>
    </w:p>
    <w:p w14:paraId="1B19ED8F" w14:textId="77777777" w:rsidR="00F734C1" w:rsidRPr="0051571F" w:rsidRDefault="00F734C1" w:rsidP="006F0AF6">
      <w:pPr>
        <w:jc w:val="both"/>
        <w:rPr>
          <w:rFonts w:ascii="Times New Roman" w:hAnsi="Times New Roman" w:cs="Times New Roman"/>
        </w:rPr>
      </w:pPr>
    </w:p>
    <w:p w14:paraId="4CBB3B79" w14:textId="77777777" w:rsidR="00F734C1" w:rsidRPr="004B3EC4" w:rsidRDefault="00F734C1" w:rsidP="006F0AF6">
      <w:pPr>
        <w:jc w:val="both"/>
        <w:rPr>
          <w:rFonts w:ascii="Times New Roman" w:hAnsi="Times New Roman" w:cs="Times New Roman"/>
          <w:i/>
          <w:iCs/>
        </w:rPr>
      </w:pPr>
      <w:r w:rsidRPr="004B3EC4">
        <w:rPr>
          <w:rFonts w:ascii="Times New Roman" w:hAnsi="Times New Roman" w:cs="Times New Roman"/>
          <w:i/>
          <w:iCs/>
        </w:rPr>
        <w:t>Durant la crise sanitaire</w:t>
      </w:r>
    </w:p>
    <w:p w14:paraId="0F24AFEE"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rPr>
        <w:t>La crise sanitaire a été un moment très difficile. Durant le confinement, seules quelques ventes en ligne permettaient aux artisans couturiers et stylistes de subvenir à leurs besoins alimentaires. Le manque de matières premières a été un facteur déterminant de la baisse du chiffre d’affaires des artisans couturiers et stylistes, entrainant par conséquent une baisse d’activité et de production en période de crise.</w:t>
      </w:r>
    </w:p>
    <w:p w14:paraId="329CA3DA"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rPr>
        <w:t>Pour E. rencontrée dans sa boutique de prêt-à-porter aux alentours du marché de Papeete :</w:t>
      </w:r>
    </w:p>
    <w:p w14:paraId="3B57CF0E" w14:textId="1C0F883B" w:rsidR="00F734C1" w:rsidRPr="0051571F" w:rsidRDefault="00F734C1" w:rsidP="006F0AF6">
      <w:pPr>
        <w:pBdr>
          <w:left w:val="single" w:sz="4" w:space="4" w:color="auto"/>
        </w:pBdr>
        <w:ind w:left="567"/>
        <w:jc w:val="both"/>
        <w:rPr>
          <w:rFonts w:ascii="Times New Roman" w:hAnsi="Times New Roman" w:cs="Times New Roman"/>
          <w:i/>
          <w:iCs/>
        </w:rPr>
      </w:pPr>
      <w:r w:rsidRPr="0051571F">
        <w:rPr>
          <w:rFonts w:ascii="Times New Roman" w:hAnsi="Times New Roman" w:cs="Times New Roman"/>
          <w:i/>
          <w:iCs/>
        </w:rPr>
        <w:t>« Dur pendant la crise car fermé 3 mois, 2 mois. Pas de vente. Mais j’ai pu créer des modèles à la Maison »</w:t>
      </w:r>
    </w:p>
    <w:p w14:paraId="01100C26"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 d’entretien)</w:t>
      </w:r>
    </w:p>
    <w:p w14:paraId="5FAEC28D" w14:textId="77777777" w:rsidR="00F734C1" w:rsidRPr="0051571F" w:rsidRDefault="00F734C1" w:rsidP="006F0AF6">
      <w:pPr>
        <w:jc w:val="both"/>
        <w:rPr>
          <w:rFonts w:ascii="Times New Roman" w:hAnsi="Times New Roman" w:cs="Times New Roman"/>
        </w:rPr>
      </w:pPr>
    </w:p>
    <w:p w14:paraId="4E6A96A1"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rPr>
        <w:t>Pour C. rencontre dans sa boutique de vente de prêt-à-porter au niveau du centre Vaima, la situation a été similaire :</w:t>
      </w:r>
    </w:p>
    <w:p w14:paraId="23B861AB"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i/>
          <w:iCs/>
        </w:rPr>
        <w:t>« Horrible. On a dû fermer pendant 2 mois. »</w:t>
      </w:r>
      <w:r w:rsidRPr="0051571F">
        <w:rPr>
          <w:rFonts w:ascii="Times New Roman" w:hAnsi="Times New Roman" w:cs="Times New Roman"/>
        </w:rPr>
        <w:t xml:space="preserve"> La responsable de la boutique livrait ses produits vendus en ligne, qui avant la crise et le confinement, n’étaient vendus qu’en ligne sans aucune livraison. La situation a été d’autant plus difficile car un licenciement avait dû se faire. Durant la crise, leur chiffre d’affaires avait diminué de plus de 80%. À la levée des restrictions sanitaires, la situation n’a pas été facile non plus car </w:t>
      </w:r>
      <w:r w:rsidRPr="0051571F">
        <w:rPr>
          <w:rFonts w:ascii="Times New Roman" w:hAnsi="Times New Roman" w:cs="Times New Roman"/>
          <w:i/>
          <w:iCs/>
        </w:rPr>
        <w:t>« les gens ne voulaient pas sortir de chez eux et achetaient le strict nécessaire. »</w:t>
      </w:r>
      <w:r w:rsidRPr="0051571F">
        <w:rPr>
          <w:rFonts w:ascii="Times New Roman" w:hAnsi="Times New Roman" w:cs="Times New Roman"/>
        </w:rPr>
        <w:t xml:space="preserve"> (extrait d’entretien)</w:t>
      </w:r>
    </w:p>
    <w:p w14:paraId="3E02FD52" w14:textId="77777777" w:rsidR="00F734C1" w:rsidRPr="0051571F" w:rsidRDefault="00F734C1" w:rsidP="006F0AF6">
      <w:pPr>
        <w:jc w:val="both"/>
        <w:rPr>
          <w:rFonts w:ascii="Times New Roman" w:hAnsi="Times New Roman" w:cs="Times New Roman"/>
        </w:rPr>
      </w:pPr>
    </w:p>
    <w:p w14:paraId="13BD164C" w14:textId="77777777" w:rsidR="00F734C1" w:rsidRPr="004B3EC4" w:rsidRDefault="00F734C1" w:rsidP="006F0AF6">
      <w:pPr>
        <w:jc w:val="both"/>
        <w:rPr>
          <w:rFonts w:ascii="Times New Roman" w:hAnsi="Times New Roman" w:cs="Times New Roman"/>
          <w:i/>
          <w:iCs/>
        </w:rPr>
      </w:pPr>
      <w:r w:rsidRPr="004B3EC4">
        <w:rPr>
          <w:rFonts w:ascii="Times New Roman" w:hAnsi="Times New Roman" w:cs="Times New Roman"/>
          <w:i/>
          <w:iCs/>
        </w:rPr>
        <w:t>Sortie de la crise sanitaire</w:t>
      </w:r>
    </w:p>
    <w:p w14:paraId="0A30B02F" w14:textId="77777777" w:rsidR="00F734C1" w:rsidRPr="0051571F" w:rsidRDefault="00F734C1" w:rsidP="006F0AF6">
      <w:pPr>
        <w:jc w:val="both"/>
        <w:rPr>
          <w:rFonts w:ascii="Times New Roman" w:hAnsi="Times New Roman" w:cs="Times New Roman"/>
        </w:rPr>
      </w:pPr>
      <w:r w:rsidRPr="0051571F">
        <w:rPr>
          <w:rFonts w:ascii="Times New Roman" w:hAnsi="Times New Roman" w:cs="Times New Roman"/>
        </w:rPr>
        <w:t>Le contexte inflationniste actuel inscrit le domaine du stylisme des artisans couturiers et stylistes dans une période de crise économique, déjà durement touchée durant la crise sanitaire et ce, notamment en période de confinement. Pour P, rencontrée dans sa boutique de prêt-à-porter aux alentours du marché de Papeete :</w:t>
      </w:r>
    </w:p>
    <w:p w14:paraId="216CEBBE" w14:textId="77777777" w:rsidR="00F734C1" w:rsidRPr="0051571F" w:rsidRDefault="00F734C1" w:rsidP="006F0AF6">
      <w:pPr>
        <w:pBdr>
          <w:left w:val="single" w:sz="4" w:space="4" w:color="auto"/>
        </w:pBdr>
        <w:ind w:left="567"/>
        <w:jc w:val="both"/>
        <w:rPr>
          <w:rFonts w:ascii="Times New Roman" w:hAnsi="Times New Roman" w:cs="Times New Roman"/>
          <w:i/>
          <w:iCs/>
        </w:rPr>
      </w:pPr>
      <w:r w:rsidRPr="0051571F">
        <w:rPr>
          <w:rFonts w:ascii="Times New Roman" w:hAnsi="Times New Roman" w:cs="Times New Roman"/>
          <w:i/>
          <w:iCs/>
        </w:rPr>
        <w:t>« Aujourd’hui, je ne vends plus. Les gens ne claquent plus les sous, ils ont moins de sous. Si obliger OK, si par plaisir non. J’aurai l’utilité, je vais regarder dans mon placard »</w:t>
      </w:r>
    </w:p>
    <w:p w14:paraId="14A5E7E5" w14:textId="77777777" w:rsidR="00F734C1" w:rsidRPr="0051571F" w:rsidRDefault="00F734C1" w:rsidP="006F0AF6">
      <w:pPr>
        <w:ind w:left="567"/>
        <w:jc w:val="both"/>
        <w:rPr>
          <w:rFonts w:ascii="Times New Roman" w:hAnsi="Times New Roman" w:cs="Times New Roman"/>
        </w:rPr>
      </w:pPr>
      <w:r w:rsidRPr="0051571F">
        <w:rPr>
          <w:rFonts w:ascii="Times New Roman" w:hAnsi="Times New Roman" w:cs="Times New Roman"/>
        </w:rPr>
        <w:t>(extrait d’entretien)</w:t>
      </w:r>
    </w:p>
    <w:p w14:paraId="3BBE08B2" w14:textId="77777777" w:rsidR="00F734C1" w:rsidRPr="0051571F" w:rsidRDefault="00F734C1" w:rsidP="006F0AF6">
      <w:pPr>
        <w:jc w:val="both"/>
        <w:rPr>
          <w:rFonts w:ascii="Times New Roman" w:hAnsi="Times New Roman" w:cs="Times New Roman"/>
        </w:rPr>
      </w:pPr>
    </w:p>
    <w:p w14:paraId="0460599A" w14:textId="07A03B16" w:rsidR="00F734C1" w:rsidRPr="0051571F" w:rsidRDefault="00F734C1" w:rsidP="006F0AF6">
      <w:pPr>
        <w:jc w:val="both"/>
        <w:rPr>
          <w:rFonts w:ascii="Times New Roman" w:hAnsi="Times New Roman" w:cs="Times New Roman"/>
        </w:rPr>
      </w:pPr>
      <w:r w:rsidRPr="0051571F">
        <w:rPr>
          <w:rFonts w:ascii="Times New Roman" w:hAnsi="Times New Roman" w:cs="Times New Roman"/>
        </w:rPr>
        <w:t>Pour C. rencontré dans sa boutique de vente de prêt-à-porter au niveau du centre Vaima, son chiffre d’affaires a retrouvé son niveau d’avant C</w:t>
      </w:r>
      <w:r w:rsidR="001031D4">
        <w:rPr>
          <w:rFonts w:ascii="Times New Roman" w:hAnsi="Times New Roman" w:cs="Times New Roman"/>
        </w:rPr>
        <w:t>ovid</w:t>
      </w:r>
      <w:r w:rsidRPr="0051571F">
        <w:rPr>
          <w:rFonts w:ascii="Times New Roman" w:hAnsi="Times New Roman" w:cs="Times New Roman"/>
        </w:rPr>
        <w:t xml:space="preserve"> au début de l’année 2022. Cependant, si cette augmentation est notée, elle ne doit pas masqu</w:t>
      </w:r>
      <w:r w:rsidR="009A376D">
        <w:rPr>
          <w:rFonts w:ascii="Times New Roman" w:hAnsi="Times New Roman" w:cs="Times New Roman"/>
        </w:rPr>
        <w:t>er</w:t>
      </w:r>
      <w:r w:rsidRPr="0051571F">
        <w:rPr>
          <w:rFonts w:ascii="Times New Roman" w:hAnsi="Times New Roman" w:cs="Times New Roman"/>
        </w:rPr>
        <w:t xml:space="preserve"> la baisse des ventes en cette fin d’année, car les mois de septembre, octobre et novembre ont été </w:t>
      </w:r>
      <w:r w:rsidRPr="0051571F">
        <w:rPr>
          <w:rFonts w:ascii="Times New Roman" w:hAnsi="Times New Roman" w:cs="Times New Roman"/>
          <w:i/>
          <w:iCs/>
        </w:rPr>
        <w:t>« catastrophiques »</w:t>
      </w:r>
      <w:r w:rsidRPr="0051571F">
        <w:rPr>
          <w:rFonts w:ascii="Times New Roman" w:hAnsi="Times New Roman" w:cs="Times New Roman"/>
        </w:rPr>
        <w:t xml:space="preserve"> à l’approche des fêtes de fin d’année, Noël en particulier.</w:t>
      </w:r>
    </w:p>
    <w:p w14:paraId="420EFDFB" w14:textId="77777777" w:rsidR="00F734C1" w:rsidRPr="0051571F" w:rsidRDefault="00F734C1" w:rsidP="006F0AF6">
      <w:pPr>
        <w:rPr>
          <w:rFonts w:ascii="Times New Roman" w:hAnsi="Times New Roman" w:cs="Times New Roman"/>
        </w:rPr>
      </w:pPr>
    </w:p>
    <w:p w14:paraId="543255D5" w14:textId="77777777" w:rsidR="00150559" w:rsidRPr="00C57DE5" w:rsidRDefault="00150559" w:rsidP="006F0AF6">
      <w:pPr>
        <w:rPr>
          <w:rFonts w:ascii="Times New Roman" w:hAnsi="Times New Roman" w:cs="Times New Roman"/>
          <w:sz w:val="36"/>
          <w:szCs w:val="36"/>
        </w:rPr>
      </w:pPr>
      <w:r w:rsidRPr="00C57DE5">
        <w:rPr>
          <w:rFonts w:ascii="Times New Roman" w:hAnsi="Times New Roman" w:cs="Times New Roman"/>
          <w:sz w:val="36"/>
          <w:szCs w:val="36"/>
        </w:rPr>
        <w:t>Conclusion</w:t>
      </w:r>
    </w:p>
    <w:p w14:paraId="2A13A971" w14:textId="77777777" w:rsidR="005A7C63" w:rsidRPr="0051571F" w:rsidRDefault="005A7C63" w:rsidP="006F0AF6">
      <w:pPr>
        <w:rPr>
          <w:rFonts w:ascii="Times New Roman" w:hAnsi="Times New Roman" w:cs="Times New Roman"/>
        </w:rPr>
      </w:pPr>
    </w:p>
    <w:p w14:paraId="47A8293A" w14:textId="77777777" w:rsidR="00E6341B" w:rsidRPr="00E6341B" w:rsidRDefault="00E6341B" w:rsidP="00E6341B">
      <w:pPr>
        <w:jc w:val="both"/>
        <w:rPr>
          <w:rFonts w:ascii="Times New Roman" w:eastAsia="Times New Roman" w:hAnsi="Times New Roman" w:cs="Times New Roman"/>
          <w:lang w:eastAsia="fr-FR"/>
        </w:rPr>
      </w:pPr>
      <w:r w:rsidRPr="00E6341B">
        <w:rPr>
          <w:rFonts w:ascii="Times New Roman" w:eastAsia="Times New Roman" w:hAnsi="Times New Roman" w:cs="Times New Roman"/>
          <w:lang w:eastAsia="fr-FR"/>
        </w:rPr>
        <w:t>L'évaluation de l'impact de la pandémie de Covid-19 sur les industries culturelles et créatives (ICC) en Polynésie française a révélé des enjeux sociaux et économiques majeurs, ainsi que des difficultés rencontrées par les acteurs locaux. L'analyse des données qualitatives et quantitatives a permis d'établir une typologie des défis auxquels ces acteurs font face, ainsi que des stratégies mises en place pour surmonter la crise sanitaire et l'inflation économique mondiale. Les acteurs des ICC se forment, se professionnalisent et organisent leurs activités principalement sur le marché local, avec une ouverture limitée vers l'international. Les secteurs les plus soutenus par les pouvoirs publics incluent les arts visuels, l'édition et l'artisanat traditionnel, mais leur industrialisation et formalisation restent lentes. Les dispositifs de formation et l'accès à des aides gouvernementales ont permis à certains acteurs de mieux supporter les pertes économiques, qui se chiffrent entre 15% et 80% selon les domaines.</w:t>
      </w:r>
    </w:p>
    <w:p w14:paraId="19427B60" w14:textId="77777777" w:rsidR="00E6341B" w:rsidRPr="00E6341B" w:rsidRDefault="00E6341B" w:rsidP="00E6341B">
      <w:pPr>
        <w:jc w:val="both"/>
        <w:rPr>
          <w:rFonts w:ascii="Times New Roman" w:eastAsia="Times New Roman" w:hAnsi="Times New Roman" w:cs="Times New Roman"/>
          <w:lang w:eastAsia="fr-FR"/>
        </w:rPr>
      </w:pPr>
      <w:r w:rsidRPr="00E6341B">
        <w:rPr>
          <w:rFonts w:ascii="Times New Roman" w:eastAsia="Times New Roman" w:hAnsi="Times New Roman" w:cs="Times New Roman"/>
          <w:lang w:eastAsia="fr-FR"/>
        </w:rPr>
        <w:lastRenderedPageBreak/>
        <w:t>Les artisans, souvent ancrés dans des dynamiques familiales, ont trouvé des moyens de se professionnaliser et de s'organiser, notamment au sein d'associations. La transmission du savoir-faire est essentielle, et le statut associatif s'avère adapté aux contraintes des artisans des îles. Le numérique a également joué un rôle crucial durant la crise, facilitant la continuité de certaines activités, bien que des inégalités persistent, notamment en matière d'accès à Internet. La pandémie a incité de nombreux acteurs à s'enregistrer comme indépendants pour bénéficier des aides, marquant ainsi un pas vers leur professionnalisation.</w:t>
      </w:r>
    </w:p>
    <w:p w14:paraId="2683DB88" w14:textId="77777777" w:rsidR="00E6341B" w:rsidRPr="00E6341B" w:rsidRDefault="00E6341B" w:rsidP="00E6341B">
      <w:pPr>
        <w:jc w:val="both"/>
        <w:rPr>
          <w:rFonts w:ascii="Times New Roman" w:eastAsia="Times New Roman" w:hAnsi="Times New Roman" w:cs="Times New Roman"/>
          <w:lang w:eastAsia="fr-FR"/>
        </w:rPr>
      </w:pPr>
      <w:r w:rsidRPr="00E6341B">
        <w:rPr>
          <w:rFonts w:ascii="Times New Roman" w:eastAsia="Times New Roman" w:hAnsi="Times New Roman" w:cs="Times New Roman"/>
          <w:lang w:eastAsia="fr-FR"/>
        </w:rPr>
        <w:t>Les efforts de production artistique exigent un investissement de temps considérable, allant jusqu'à 13 heures par jour pour certaines activités. Les ICC peuvent être classées selon leur degré de structuration, les secteurs de l'artisanat et des arts visuels étant les plus développés, suivis par les arts du spectacle, l'audiovisuel, le livre et le stylisme. Tahiti, en concentrant la majorité de la population et des touristes, joue un rôle central dans le marché local des ICC. Il est donc primordial pour les acteurs de ces industries de développer leur activité dans ce contexte local afin de surmonter la précarité et d'assurer leur viabilité économique et culturelle.</w:t>
      </w:r>
    </w:p>
    <w:p w14:paraId="2B89B917" w14:textId="3D154578" w:rsidR="00E6341B" w:rsidRPr="00E6341B" w:rsidRDefault="00E6341B" w:rsidP="00E6341B">
      <w:pPr>
        <w:jc w:val="both"/>
        <w:rPr>
          <w:rFonts w:ascii="Times New Roman" w:eastAsia="Times New Roman" w:hAnsi="Times New Roman" w:cs="Times New Roman"/>
          <w:lang w:eastAsia="fr-FR"/>
        </w:rPr>
      </w:pPr>
      <w:r>
        <w:rPr>
          <w:rFonts w:ascii="Times New Roman" w:eastAsia="Times New Roman" w:hAnsi="Times New Roman" w:cs="Times New Roman"/>
          <w:lang w:eastAsia="fr-FR"/>
        </w:rPr>
        <w:t>L</w:t>
      </w:r>
      <w:r w:rsidRPr="00E6341B">
        <w:rPr>
          <w:rFonts w:ascii="Times New Roman" w:eastAsia="Times New Roman" w:hAnsi="Times New Roman" w:cs="Times New Roman"/>
          <w:lang w:eastAsia="fr-FR"/>
        </w:rPr>
        <w:t>'évaluation met en évidence une dynamique d'adaptation des acteurs des ICC face aux crises, portée par une volonté de professionnalisation et de structuration. Les efforts de formation et d'organisation, couplés avec une ouverture vers le numérique et l'international, sont essentiels pour assurer la pérennité de ces secteurs. Toutefois, des enjeux d'accès aux ressources et d'inégalités subsistent, nécessitant une attention particulière de la part des institutions pour soutenir ces industries vitales pour la culture et l'économie du fenua.</w:t>
      </w:r>
    </w:p>
    <w:p w14:paraId="4662B39A" w14:textId="73DDD71B" w:rsidR="00970B5D" w:rsidRDefault="00970B5D">
      <w:pPr>
        <w:rPr>
          <w:rFonts w:ascii="Times New Roman" w:eastAsia="Times New Roman" w:hAnsi="Times New Roman" w:cs="Times New Roman"/>
          <w:bCs/>
          <w:kern w:val="36"/>
          <w:lang w:eastAsia="fr-FR"/>
        </w:rPr>
      </w:pPr>
      <w:bookmarkStart w:id="6" w:name="_Toc121818317"/>
    </w:p>
    <w:p w14:paraId="2E16F661" w14:textId="77777777" w:rsidR="008E61F9" w:rsidRDefault="008E61F9">
      <w:pPr>
        <w:rPr>
          <w:rFonts w:ascii="Times New Roman" w:eastAsia="Times New Roman" w:hAnsi="Times New Roman" w:cs="Times New Roman"/>
          <w:bCs/>
          <w:kern w:val="36"/>
          <w:lang w:eastAsia="fr-FR"/>
        </w:rPr>
      </w:pPr>
      <w:r>
        <w:rPr>
          <w:b/>
        </w:rPr>
        <w:br w:type="page"/>
      </w:r>
    </w:p>
    <w:p w14:paraId="2042481D" w14:textId="4AF1820C" w:rsidR="00C0453F" w:rsidRPr="00B82874" w:rsidRDefault="00C0453F" w:rsidP="006F0AF6">
      <w:pPr>
        <w:pStyle w:val="Titre1"/>
        <w:spacing w:before="0" w:beforeAutospacing="0" w:after="0" w:afterAutospacing="0"/>
        <w:rPr>
          <w:b w:val="0"/>
          <w:sz w:val="24"/>
          <w:szCs w:val="24"/>
        </w:rPr>
      </w:pPr>
      <w:r w:rsidRPr="00B82874">
        <w:rPr>
          <w:b w:val="0"/>
          <w:sz w:val="24"/>
          <w:szCs w:val="24"/>
        </w:rPr>
        <w:lastRenderedPageBreak/>
        <w:t>R</w:t>
      </w:r>
      <w:r w:rsidR="00A708AB">
        <w:rPr>
          <w:b w:val="0"/>
          <w:sz w:val="24"/>
          <w:szCs w:val="24"/>
        </w:rPr>
        <w:t xml:space="preserve">éférences bibliographiques </w:t>
      </w:r>
      <w:bookmarkEnd w:id="6"/>
    </w:p>
    <w:p w14:paraId="5D7108C0" w14:textId="0A6FD141" w:rsidR="007E18CE" w:rsidRDefault="007E18CE" w:rsidP="007E18CE">
      <w:pPr>
        <w:jc w:val="both"/>
        <w:rPr>
          <w:rFonts w:ascii="Times New Roman" w:hAnsi="Times New Roman" w:cs="Times New Roman"/>
          <w:bCs/>
        </w:rPr>
      </w:pPr>
    </w:p>
    <w:p w14:paraId="77B60BC3" w14:textId="77777777" w:rsidR="006A2171" w:rsidRPr="00B07DF9" w:rsidRDefault="006A2171" w:rsidP="006A2171">
      <w:pPr>
        <w:jc w:val="both"/>
        <w:rPr>
          <w:rFonts w:ascii="Times New Roman" w:hAnsi="Times New Roman" w:cs="Times New Roman"/>
        </w:rPr>
      </w:pPr>
      <w:r w:rsidRPr="00B07DF9">
        <w:rPr>
          <w:rFonts w:ascii="Times New Roman" w:hAnsi="Times New Roman" w:cs="Times New Roman"/>
        </w:rPr>
        <w:t>Le cadre de l’UNESCO pour les statistiques culturelles (CSC), 2009</w:t>
      </w:r>
    </w:p>
    <w:p w14:paraId="7EBB6F9E" w14:textId="77777777" w:rsidR="006A2171" w:rsidRDefault="006A2171" w:rsidP="007E18CE">
      <w:pPr>
        <w:jc w:val="both"/>
        <w:rPr>
          <w:rFonts w:ascii="Times New Roman" w:hAnsi="Times New Roman" w:cs="Times New Roman"/>
          <w:bCs/>
        </w:rPr>
      </w:pPr>
    </w:p>
    <w:p w14:paraId="64CDBB10" w14:textId="77777777" w:rsidR="00176A15" w:rsidRPr="00B07DF9" w:rsidRDefault="00176A15" w:rsidP="00176A15">
      <w:pPr>
        <w:jc w:val="both"/>
        <w:rPr>
          <w:rFonts w:ascii="Times New Roman" w:hAnsi="Times New Roman" w:cs="Times New Roman"/>
        </w:rPr>
      </w:pPr>
      <w:r w:rsidRPr="00B07DF9">
        <w:rPr>
          <w:rFonts w:ascii="Times New Roman" w:hAnsi="Times New Roman" w:cs="Times New Roman"/>
        </w:rPr>
        <w:t xml:space="preserve">Loi du Pays n°2016-18 du 19 mai 2016 portant reconnaissance des professions artistiques et diverses mesures en faveur de l'art en Polynésie française [En ligne : </w:t>
      </w:r>
      <w:hyperlink r:id="rId8" w:history="1">
        <w:r w:rsidRPr="00B07DF9">
          <w:rPr>
            <w:rStyle w:val="Lienhypertexte"/>
            <w:rFonts w:ascii="Times New Roman" w:hAnsi="Times New Roman" w:cs="Times New Roman"/>
          </w:rPr>
          <w:t>https://lexpol.cloud.pf/document.php?document=325004&amp;deb=1972&amp;fin=1974&amp;titre=TG9pIGR1IFBheXMgbsKwIDIwMTYtMTggZHUgMTkvMDUvMjAxNg==</w:t>
        </w:r>
      </w:hyperlink>
      <w:r w:rsidRPr="00B07DF9">
        <w:rPr>
          <w:rFonts w:ascii="Times New Roman" w:hAnsi="Times New Roman" w:cs="Times New Roman"/>
        </w:rPr>
        <w:t>]</w:t>
      </w:r>
    </w:p>
    <w:p w14:paraId="40C87217" w14:textId="77777777" w:rsidR="00176A15" w:rsidRPr="00B07DF9" w:rsidRDefault="00176A15" w:rsidP="007E18CE">
      <w:pPr>
        <w:jc w:val="both"/>
        <w:rPr>
          <w:rFonts w:ascii="Times New Roman" w:hAnsi="Times New Roman" w:cs="Times New Roman"/>
          <w:bCs/>
        </w:rPr>
      </w:pPr>
    </w:p>
    <w:p w14:paraId="6754A4D8" w14:textId="54699FCA" w:rsidR="00914532" w:rsidRPr="00B07DF9" w:rsidRDefault="00914532" w:rsidP="007E18CE">
      <w:pPr>
        <w:jc w:val="both"/>
        <w:rPr>
          <w:rFonts w:ascii="Times New Roman" w:hAnsi="Times New Roman" w:cs="Times New Roman"/>
          <w:i/>
          <w:iCs/>
        </w:rPr>
      </w:pPr>
      <w:r w:rsidRPr="00B07DF9">
        <w:rPr>
          <w:rFonts w:ascii="Times New Roman" w:hAnsi="Times New Roman" w:cs="Times New Roman"/>
        </w:rPr>
        <w:t>Question N° : 33984, 15ème législature, Risques de saturation de l'hôpital de Tahiti, en Polynésie Française à l’Assemblée nationale, 2020</w:t>
      </w:r>
      <w:r w:rsidRPr="00B07DF9">
        <w:rPr>
          <w:rFonts w:ascii="Times New Roman" w:hAnsi="Times New Roman" w:cs="Times New Roman"/>
          <w:i/>
          <w:iCs/>
        </w:rPr>
        <w:t>.</w:t>
      </w:r>
    </w:p>
    <w:p w14:paraId="7323F3C1" w14:textId="77777777" w:rsidR="007E18CE" w:rsidRPr="00B07DF9" w:rsidRDefault="007E18CE" w:rsidP="007E18CE">
      <w:pPr>
        <w:jc w:val="both"/>
        <w:rPr>
          <w:rFonts w:ascii="Times New Roman" w:hAnsi="Times New Roman" w:cs="Times New Roman"/>
          <w:i/>
          <w:iCs/>
        </w:rPr>
      </w:pPr>
    </w:p>
    <w:p w14:paraId="3544E808" w14:textId="5ECE4543" w:rsidR="00914532" w:rsidRDefault="00914532" w:rsidP="007E18CE">
      <w:pPr>
        <w:jc w:val="both"/>
        <w:rPr>
          <w:rFonts w:ascii="Times New Roman" w:hAnsi="Times New Roman" w:cs="Times New Roman"/>
        </w:rPr>
      </w:pPr>
      <w:r w:rsidRPr="00B07DF9">
        <w:rPr>
          <w:rFonts w:ascii="Times New Roman" w:hAnsi="Times New Roman" w:cs="Times New Roman"/>
        </w:rPr>
        <w:t xml:space="preserve">Arrêté n°1016 CM du 11 juin 2021 portant application de la loi du pays n°2021-20 du 30 avril 2021 portant création d’un soutien à la création cinématographique et audiovisuelle (SCCA) [En ligne : </w:t>
      </w:r>
      <w:hyperlink r:id="rId9" w:history="1">
        <w:r w:rsidRPr="00B07DF9">
          <w:rPr>
            <w:rStyle w:val="Lienhypertexte"/>
            <w:rFonts w:ascii="Times New Roman" w:hAnsi="Times New Roman" w:cs="Times New Roman"/>
          </w:rPr>
          <w:t>https://www.service-public.pf/dgen/wp-content/uploads/sites/3/2021/07/Arrete-n%C2%B0-1016-CM-du-11_06_2021.pdf</w:t>
        </w:r>
      </w:hyperlink>
      <w:r w:rsidRPr="00B07DF9">
        <w:rPr>
          <w:rFonts w:ascii="Times New Roman" w:hAnsi="Times New Roman" w:cs="Times New Roman"/>
        </w:rPr>
        <w:t>]</w:t>
      </w:r>
    </w:p>
    <w:p w14:paraId="1E51DF9F" w14:textId="77777777" w:rsidR="003F0CD5" w:rsidRDefault="003F0CD5" w:rsidP="003F0CD5">
      <w:pPr>
        <w:jc w:val="both"/>
        <w:rPr>
          <w:rFonts w:ascii="Times New Roman" w:hAnsi="Times New Roman" w:cs="Times New Roman"/>
        </w:rPr>
      </w:pPr>
    </w:p>
    <w:p w14:paraId="2A43F302" w14:textId="45FC958D" w:rsidR="003F0CD5" w:rsidRPr="00B07DF9" w:rsidRDefault="003F0CD5" w:rsidP="007E18CE">
      <w:pPr>
        <w:jc w:val="both"/>
        <w:rPr>
          <w:rFonts w:ascii="Times New Roman" w:hAnsi="Times New Roman" w:cs="Times New Roman"/>
        </w:rPr>
      </w:pPr>
      <w:r w:rsidRPr="00B07DF9">
        <w:rPr>
          <w:rFonts w:ascii="Times New Roman" w:hAnsi="Times New Roman" w:cs="Times New Roman"/>
        </w:rPr>
        <w:t>Rapport d’activité de la Maison de la Culture – Te Fare Tauhiti Nui, 2021</w:t>
      </w:r>
    </w:p>
    <w:p w14:paraId="79A531F7" w14:textId="77777777" w:rsidR="007E18CE" w:rsidRPr="00B07DF9" w:rsidRDefault="007E18CE" w:rsidP="007E18CE">
      <w:pPr>
        <w:jc w:val="both"/>
        <w:rPr>
          <w:rFonts w:ascii="Times New Roman" w:hAnsi="Times New Roman" w:cs="Times New Roman"/>
        </w:rPr>
      </w:pPr>
    </w:p>
    <w:p w14:paraId="4296C50E" w14:textId="36A75BAA" w:rsidR="00914532" w:rsidRDefault="00914532" w:rsidP="007E18CE">
      <w:pPr>
        <w:jc w:val="both"/>
        <w:rPr>
          <w:rFonts w:ascii="Times New Roman" w:hAnsi="Times New Roman" w:cs="Times New Roman"/>
        </w:rPr>
      </w:pPr>
      <w:r w:rsidRPr="00B07DF9">
        <w:rPr>
          <w:rFonts w:ascii="Times New Roman" w:hAnsi="Times New Roman" w:cs="Times New Roman"/>
        </w:rPr>
        <w:t>Institut de la statistique de la Polynésie française, « Feti’i e Fenua : caractéristiques des familles et solidarités autour des parents âgés » Points études et bilans de la Polynésie française n°1295</w:t>
      </w:r>
      <w:r w:rsidR="00C411DB">
        <w:rPr>
          <w:rFonts w:ascii="Times New Roman" w:hAnsi="Times New Roman" w:cs="Times New Roman"/>
        </w:rPr>
        <w:t>, mars 2022</w:t>
      </w:r>
      <w:r w:rsidRPr="00B07DF9">
        <w:rPr>
          <w:rFonts w:ascii="Times New Roman" w:hAnsi="Times New Roman" w:cs="Times New Roman"/>
        </w:rPr>
        <w:t xml:space="preserve"> [En ligne : </w:t>
      </w:r>
      <w:hyperlink r:id="rId10" w:history="1">
        <w:r w:rsidRPr="00B07DF9">
          <w:rPr>
            <w:rStyle w:val="Lienhypertexte"/>
            <w:rFonts w:ascii="Times New Roman" w:hAnsi="Times New Roman" w:cs="Times New Roman"/>
          </w:rPr>
          <w:t>https://data.ispf.pf/docs/default-source/publi-pf-bilans-et-etudes/1295-fetii-e-fenua.pdf?sfvrsn=12</w:t>
        </w:r>
      </w:hyperlink>
      <w:r w:rsidRPr="00B07DF9">
        <w:rPr>
          <w:rFonts w:ascii="Times New Roman" w:hAnsi="Times New Roman" w:cs="Times New Roman"/>
        </w:rPr>
        <w:t>]</w:t>
      </w:r>
    </w:p>
    <w:p w14:paraId="4D7458EE" w14:textId="038489F1" w:rsidR="00491AE6" w:rsidRDefault="00491AE6" w:rsidP="007E18CE">
      <w:pPr>
        <w:jc w:val="both"/>
        <w:rPr>
          <w:rFonts w:ascii="Times New Roman" w:hAnsi="Times New Roman" w:cs="Times New Roman"/>
        </w:rPr>
      </w:pPr>
    </w:p>
    <w:p w14:paraId="0EAC901C" w14:textId="5097D602" w:rsidR="00491AE6" w:rsidRPr="00B07DF9" w:rsidRDefault="00491AE6" w:rsidP="007E18CE">
      <w:pPr>
        <w:jc w:val="both"/>
        <w:rPr>
          <w:rFonts w:ascii="Times New Roman" w:hAnsi="Times New Roman" w:cs="Times New Roman"/>
        </w:rPr>
      </w:pPr>
      <w:r w:rsidRPr="00B07DF9">
        <w:rPr>
          <w:rFonts w:ascii="Times New Roman" w:hAnsi="Times New Roman" w:cs="Times New Roman"/>
        </w:rPr>
        <w:t xml:space="preserve">Loi du pays n°2022-32 du 23 août 2022 portant création d’un dispositif d’aide à la création numérique – ACN [En ligne : </w:t>
      </w:r>
      <w:hyperlink r:id="rId11" w:history="1">
        <w:r w:rsidRPr="00B07DF9">
          <w:rPr>
            <w:rStyle w:val="Lienhypertexte"/>
            <w:rFonts w:ascii="Times New Roman" w:hAnsi="Times New Roman" w:cs="Times New Roman"/>
          </w:rPr>
          <w:t>https://www.service-public.pf/dgen/wp-content/uploads/sites/3/2022/06/Loi-du-Pays-n%C2%B0-2022-32-du-23_08_2022.pdf</w:t>
        </w:r>
      </w:hyperlink>
      <w:r w:rsidRPr="00B07DF9">
        <w:rPr>
          <w:rFonts w:ascii="Times New Roman" w:hAnsi="Times New Roman" w:cs="Times New Roman"/>
        </w:rPr>
        <w:t>]</w:t>
      </w:r>
    </w:p>
    <w:p w14:paraId="30028739" w14:textId="25A00962" w:rsidR="007E18CE" w:rsidRDefault="007E18CE" w:rsidP="007E18CE">
      <w:pPr>
        <w:jc w:val="both"/>
        <w:rPr>
          <w:rStyle w:val="Lienhypertexte"/>
          <w:rFonts w:ascii="Times New Roman" w:hAnsi="Times New Roman" w:cs="Times New Roman"/>
        </w:rPr>
      </w:pPr>
    </w:p>
    <w:p w14:paraId="0794AEAD" w14:textId="3CC3AEF5" w:rsidR="00BD608D" w:rsidRPr="00BD608D" w:rsidRDefault="00BD608D" w:rsidP="007E18CE">
      <w:pPr>
        <w:jc w:val="both"/>
        <w:rPr>
          <w:rStyle w:val="Lienhypertexte"/>
          <w:rFonts w:ascii="Times New Roman" w:hAnsi="Times New Roman" w:cs="Times New Roman"/>
          <w:color w:val="auto"/>
          <w:u w:val="none"/>
        </w:rPr>
      </w:pPr>
      <w:r w:rsidRPr="00B07DF9">
        <w:rPr>
          <w:rFonts w:ascii="Times New Roman" w:hAnsi="Times New Roman" w:cs="Times New Roman"/>
        </w:rPr>
        <w:t xml:space="preserve">Service de l’artisanat, Demandes des aides [En ligne : </w:t>
      </w:r>
      <w:hyperlink r:id="rId12" w:history="1">
        <w:r w:rsidRPr="00B07DF9">
          <w:rPr>
            <w:rStyle w:val="Lienhypertexte"/>
            <w:rFonts w:ascii="Times New Roman" w:hAnsi="Times New Roman" w:cs="Times New Roman"/>
          </w:rPr>
          <w:t>https://www.service-public.pf/art/demander-des-aides/</w:t>
        </w:r>
      </w:hyperlink>
      <w:r w:rsidRPr="00B07DF9">
        <w:rPr>
          <w:rFonts w:ascii="Times New Roman" w:hAnsi="Times New Roman" w:cs="Times New Roman"/>
        </w:rPr>
        <w:t>]</w:t>
      </w:r>
    </w:p>
    <w:sectPr w:rsidR="00BD608D" w:rsidRPr="00BD608D">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6A22" w14:textId="77777777" w:rsidR="00C76419" w:rsidRDefault="00C76419" w:rsidP="00D370A1">
      <w:r>
        <w:separator/>
      </w:r>
    </w:p>
  </w:endnote>
  <w:endnote w:type="continuationSeparator" w:id="0">
    <w:p w14:paraId="3AD790D6" w14:textId="77777777" w:rsidR="00C76419" w:rsidRDefault="00C76419" w:rsidP="00D3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2516562"/>
      <w:docPartObj>
        <w:docPartGallery w:val="Page Numbers (Bottom of Page)"/>
        <w:docPartUnique/>
      </w:docPartObj>
    </w:sdtPr>
    <w:sdtContent>
      <w:p w14:paraId="68985749" w14:textId="77777777" w:rsidR="00BB29F3" w:rsidRDefault="00BB29F3" w:rsidP="00D5462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75978E0" w14:textId="77777777" w:rsidR="00BB29F3" w:rsidRDefault="00BB29F3" w:rsidP="00BB29F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63585571"/>
      <w:docPartObj>
        <w:docPartGallery w:val="Page Numbers (Bottom of Page)"/>
        <w:docPartUnique/>
      </w:docPartObj>
    </w:sdtPr>
    <w:sdtContent>
      <w:p w14:paraId="66414DF7" w14:textId="77777777" w:rsidR="00BB29F3" w:rsidRDefault="00BB29F3" w:rsidP="00D5462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258EF71" w14:textId="77777777" w:rsidR="00BB29F3" w:rsidRDefault="00BB29F3" w:rsidP="00BB29F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37774" w14:textId="77777777" w:rsidR="00C76419" w:rsidRDefault="00C76419" w:rsidP="00D370A1">
      <w:r>
        <w:separator/>
      </w:r>
    </w:p>
  </w:footnote>
  <w:footnote w:type="continuationSeparator" w:id="0">
    <w:p w14:paraId="49CEC630" w14:textId="77777777" w:rsidR="00C76419" w:rsidRDefault="00C76419" w:rsidP="00D370A1">
      <w:r>
        <w:continuationSeparator/>
      </w:r>
    </w:p>
  </w:footnote>
  <w:footnote w:id="1">
    <w:p w14:paraId="72DF3F82" w14:textId="56F8AB7C" w:rsidR="00D370A1" w:rsidRPr="00D370A1" w:rsidRDefault="00D370A1" w:rsidP="00D370A1">
      <w:pPr>
        <w:pStyle w:val="Notedebasdepage"/>
        <w:jc w:val="both"/>
        <w:rPr>
          <w:rFonts w:ascii="Times New Roman" w:hAnsi="Times New Roman" w:cs="Times New Roman"/>
          <w:sz w:val="18"/>
          <w:szCs w:val="18"/>
        </w:rPr>
      </w:pPr>
      <w:r w:rsidRPr="00D370A1">
        <w:rPr>
          <w:rStyle w:val="Appelnotedebasdep"/>
          <w:rFonts w:ascii="Times New Roman" w:hAnsi="Times New Roman" w:cs="Times New Roman"/>
          <w:sz w:val="18"/>
          <w:szCs w:val="18"/>
        </w:rPr>
        <w:footnoteRef/>
      </w:r>
      <w:r w:rsidRPr="00D370A1">
        <w:rPr>
          <w:rFonts w:ascii="Times New Roman" w:hAnsi="Times New Roman" w:cs="Times New Roman"/>
          <w:sz w:val="18"/>
          <w:szCs w:val="18"/>
        </w:rPr>
        <w:t xml:space="preserve"> </w:t>
      </w:r>
      <w:r w:rsidR="000F02E8">
        <w:rPr>
          <w:rFonts w:ascii="Times New Roman" w:hAnsi="Times New Roman" w:cs="Times New Roman"/>
          <w:sz w:val="18"/>
          <w:szCs w:val="18"/>
        </w:rPr>
        <w:t>Docteure</w:t>
      </w:r>
      <w:r w:rsidRPr="00D370A1">
        <w:rPr>
          <w:rFonts w:ascii="Times New Roman" w:hAnsi="Times New Roman" w:cs="Times New Roman"/>
          <w:sz w:val="18"/>
          <w:szCs w:val="18"/>
        </w:rPr>
        <w:t xml:space="preserve"> en socio-anthropologie à l’Université de la Polynésie française et directrice de la formation au Centre de gestion et de formation de la Polynésie française. Ses travaux de recherche portent exclusivement sur des questions sociales telles que le sans-abrisme, la prostitution, la délinquance, les inégalités liées au genre, le décrochage scolaire </w:t>
      </w:r>
      <w:r w:rsidR="00904360">
        <w:rPr>
          <w:rFonts w:ascii="Times New Roman" w:hAnsi="Times New Roman" w:cs="Times New Roman"/>
          <w:sz w:val="18"/>
          <w:szCs w:val="18"/>
        </w:rPr>
        <w:t xml:space="preserve">et </w:t>
      </w:r>
      <w:r w:rsidRPr="00D370A1">
        <w:rPr>
          <w:rFonts w:ascii="Times New Roman" w:hAnsi="Times New Roman" w:cs="Times New Roman"/>
          <w:sz w:val="18"/>
          <w:szCs w:val="18"/>
        </w:rPr>
        <w:t>le suicide polynésien.</w:t>
      </w:r>
    </w:p>
  </w:footnote>
  <w:footnote w:id="2">
    <w:p w14:paraId="79945C2E" w14:textId="77777777" w:rsidR="00E845A7" w:rsidRPr="00F54FAB" w:rsidRDefault="00E845A7" w:rsidP="00E845A7">
      <w:pPr>
        <w:pStyle w:val="Notedebasdepage"/>
        <w:rPr>
          <w:rFonts w:ascii="Times New Roman" w:hAnsi="Times New Roman" w:cs="Times New Roman"/>
          <w:sz w:val="18"/>
          <w:szCs w:val="18"/>
        </w:rPr>
      </w:pPr>
      <w:r w:rsidRPr="00085691">
        <w:rPr>
          <w:rStyle w:val="Appelnotedebasdep"/>
          <w:rFonts w:ascii="Times New Roman" w:hAnsi="Times New Roman" w:cs="Times New Roman"/>
          <w:sz w:val="18"/>
          <w:szCs w:val="18"/>
        </w:rPr>
        <w:footnoteRef/>
      </w:r>
      <w:r w:rsidRPr="00085691">
        <w:rPr>
          <w:rFonts w:ascii="Times New Roman" w:hAnsi="Times New Roman" w:cs="Times New Roman"/>
          <w:sz w:val="18"/>
          <w:szCs w:val="18"/>
        </w:rPr>
        <w:t xml:space="preserve"> </w:t>
      </w:r>
      <w:r w:rsidRPr="00F54FAB">
        <w:rPr>
          <w:rFonts w:ascii="Times New Roman" w:hAnsi="Times New Roman" w:cs="Times New Roman"/>
          <w:sz w:val="18"/>
          <w:szCs w:val="18"/>
        </w:rPr>
        <w:t>Rapport d’activité de l’Institut d’émission d’Outre-mer, 2021 : 29</w:t>
      </w:r>
    </w:p>
  </w:footnote>
  <w:footnote w:id="3">
    <w:p w14:paraId="02DE5E79" w14:textId="77777777" w:rsidR="00E845A7" w:rsidRPr="00F54FAB" w:rsidRDefault="00E845A7" w:rsidP="00E845A7">
      <w:pPr>
        <w:pStyle w:val="Notedebasdepage"/>
        <w:rPr>
          <w:rFonts w:ascii="Times New Roman" w:hAnsi="Times New Roman" w:cs="Times New Roman"/>
          <w:sz w:val="18"/>
          <w:szCs w:val="18"/>
        </w:rPr>
      </w:pPr>
      <w:r w:rsidRPr="00F54FAB">
        <w:rPr>
          <w:rStyle w:val="Appelnotedebasdep"/>
          <w:rFonts w:ascii="Times New Roman" w:hAnsi="Times New Roman" w:cs="Times New Roman"/>
          <w:sz w:val="18"/>
          <w:szCs w:val="18"/>
        </w:rPr>
        <w:footnoteRef/>
      </w:r>
      <w:r w:rsidRPr="00F54FAB">
        <w:rPr>
          <w:rFonts w:ascii="Times New Roman" w:hAnsi="Times New Roman" w:cs="Times New Roman"/>
          <w:sz w:val="18"/>
          <w:szCs w:val="18"/>
        </w:rPr>
        <w:t xml:space="preserve"> Rapport d’activité de l’Institut d’Émission d’Outre-Mer (IEOM), 2021 : 10</w:t>
      </w:r>
    </w:p>
  </w:footnote>
  <w:footnote w:id="4">
    <w:p w14:paraId="27DAE76E" w14:textId="771B12C9" w:rsidR="00E845A7" w:rsidRPr="00F54FAB" w:rsidRDefault="00E845A7" w:rsidP="00E845A7">
      <w:pPr>
        <w:pStyle w:val="Notedebasdepage"/>
        <w:jc w:val="both"/>
        <w:rPr>
          <w:rFonts w:ascii="Times New Roman" w:hAnsi="Times New Roman" w:cs="Times New Roman"/>
          <w:sz w:val="18"/>
          <w:szCs w:val="18"/>
        </w:rPr>
      </w:pPr>
      <w:r w:rsidRPr="00F54FAB">
        <w:rPr>
          <w:rStyle w:val="Appelnotedebasdep"/>
          <w:rFonts w:ascii="Times New Roman" w:hAnsi="Times New Roman" w:cs="Times New Roman"/>
          <w:sz w:val="18"/>
          <w:szCs w:val="18"/>
        </w:rPr>
        <w:footnoteRef/>
      </w:r>
      <w:r w:rsidRPr="00F54FAB">
        <w:rPr>
          <w:rFonts w:ascii="Times New Roman" w:hAnsi="Times New Roman" w:cs="Times New Roman"/>
          <w:sz w:val="18"/>
          <w:szCs w:val="18"/>
        </w:rPr>
        <w:t xml:space="preserve"> </w:t>
      </w:r>
      <w:r w:rsidR="00D03538">
        <w:rPr>
          <w:rStyle w:val="markedcontent"/>
          <w:rFonts w:ascii="Times New Roman" w:hAnsi="Times New Roman" w:cs="Times New Roman"/>
          <w:sz w:val="18"/>
          <w:szCs w:val="18"/>
        </w:rPr>
        <w:t>S</w:t>
      </w:r>
      <w:r w:rsidRPr="00F54FAB">
        <w:rPr>
          <w:rStyle w:val="markedcontent"/>
          <w:rFonts w:ascii="Times New Roman" w:hAnsi="Times New Roman" w:cs="Times New Roman"/>
          <w:sz w:val="18"/>
          <w:szCs w:val="18"/>
        </w:rPr>
        <w:t xml:space="preserve">elon le Conseil des ministres du 27 mai 2020, </w:t>
      </w:r>
      <w:r w:rsidRPr="00F54FAB">
        <w:rPr>
          <w:rFonts w:ascii="Times New Roman" w:hAnsi="Times New Roman" w:cs="Times New Roman"/>
          <w:sz w:val="18"/>
          <w:szCs w:val="18"/>
        </w:rPr>
        <w:t>l’État et la Polynésie française signent une convention pour la mise en place en Polynésie française du Fonds de Solidarité institué par l’État pour soutenir les entreprises impactées par les conséquences économiques de l’épidémie de Covid-19.</w:t>
      </w:r>
    </w:p>
  </w:footnote>
  <w:footnote w:id="5">
    <w:p w14:paraId="13ED2588" w14:textId="7690E1A7" w:rsidR="00E845A7" w:rsidRPr="00F54FAB" w:rsidRDefault="00E845A7" w:rsidP="00E845A7">
      <w:pPr>
        <w:pStyle w:val="NormalWeb"/>
        <w:spacing w:before="0" w:beforeAutospacing="0" w:after="0" w:afterAutospacing="0"/>
        <w:jc w:val="both"/>
        <w:rPr>
          <w:sz w:val="18"/>
          <w:szCs w:val="18"/>
        </w:rPr>
      </w:pPr>
      <w:r w:rsidRPr="00F54FAB">
        <w:rPr>
          <w:rStyle w:val="Appelnotedebasdep"/>
          <w:sz w:val="18"/>
          <w:szCs w:val="18"/>
        </w:rPr>
        <w:footnoteRef/>
      </w:r>
      <w:r w:rsidRPr="00F54FAB">
        <w:rPr>
          <w:sz w:val="18"/>
          <w:szCs w:val="18"/>
        </w:rPr>
        <w:t xml:space="preserve"> </w:t>
      </w:r>
      <w:r w:rsidR="000B0CA8">
        <w:rPr>
          <w:sz w:val="18"/>
          <w:szCs w:val="18"/>
        </w:rPr>
        <w:t>L</w:t>
      </w:r>
      <w:r w:rsidRPr="00F54FAB">
        <w:rPr>
          <w:sz w:val="18"/>
          <w:szCs w:val="18"/>
        </w:rPr>
        <w:t>es entreprises se sont organisées de sorte à pouvoir répondre à une potentielle r</w:t>
      </w:r>
      <w:r w:rsidR="00DD50A8">
        <w:rPr>
          <w:sz w:val="18"/>
          <w:szCs w:val="18"/>
        </w:rPr>
        <w:t>é</w:t>
      </w:r>
      <w:r w:rsidRPr="00F54FAB">
        <w:rPr>
          <w:sz w:val="18"/>
          <w:szCs w:val="18"/>
        </w:rPr>
        <w:t>surgence de la pand</w:t>
      </w:r>
      <w:r w:rsidR="00DD50A8">
        <w:rPr>
          <w:sz w:val="18"/>
          <w:szCs w:val="18"/>
        </w:rPr>
        <w:t>é</w:t>
      </w:r>
      <w:r w:rsidRPr="00F54FAB">
        <w:rPr>
          <w:sz w:val="18"/>
          <w:szCs w:val="18"/>
        </w:rPr>
        <w:t>mie durant l’arrêt progressif des aides du gouvernement et de l’État. Elles ont développé des stratégies pour éviter le recours au chômage partiel ou aux congés. Le télétravail a été le principal dispositif déployé.</w:t>
      </w:r>
    </w:p>
  </w:footnote>
  <w:footnote w:id="6">
    <w:p w14:paraId="0BC5903A" w14:textId="5DFC973A" w:rsidR="00E845A7" w:rsidRPr="00F54FAB" w:rsidRDefault="00E845A7" w:rsidP="00E845A7">
      <w:pPr>
        <w:pStyle w:val="NormalWeb"/>
        <w:spacing w:before="0" w:beforeAutospacing="0" w:after="0" w:afterAutospacing="0"/>
        <w:jc w:val="both"/>
        <w:rPr>
          <w:b/>
          <w:bCs/>
          <w:sz w:val="18"/>
          <w:szCs w:val="18"/>
        </w:rPr>
      </w:pPr>
      <w:r w:rsidRPr="00F54FAB">
        <w:rPr>
          <w:rStyle w:val="Appelnotedebasdep"/>
          <w:sz w:val="18"/>
          <w:szCs w:val="18"/>
        </w:rPr>
        <w:footnoteRef/>
      </w:r>
      <w:r w:rsidRPr="00F54FAB">
        <w:rPr>
          <w:sz w:val="18"/>
          <w:szCs w:val="18"/>
        </w:rPr>
        <w:t xml:space="preserve"> </w:t>
      </w:r>
      <w:r w:rsidRPr="00F54FAB">
        <w:rPr>
          <w:rStyle w:val="markedcontent"/>
          <w:sz w:val="18"/>
          <w:szCs w:val="18"/>
        </w:rPr>
        <w:t>Les salles accueillant du public ont été fermés et les festivals et spectacles ont été suspendus en raison des règles sanitaires. L’arrêt des vols internationaux, nationaux et locaux a touché lourdement l’économie liée au commerce des produits artisanaux, à la confection comme l’indique le communiqué de presse du Haut-Commissariat en Polynésie française relatif au confinement de la population en date du 20 mars 2020. Selon le communiqué de presse, les salles d'auditions, de conférences, de réunions, de spectacles ou à usage multiple (par</w:t>
      </w:r>
      <w:r w:rsidRPr="00F54FAB">
        <w:rPr>
          <w:sz w:val="18"/>
          <w:szCs w:val="18"/>
        </w:rPr>
        <w:t xml:space="preserve"> </w:t>
      </w:r>
      <w:r w:rsidRPr="00F54FAB">
        <w:rPr>
          <w:rStyle w:val="markedcontent"/>
          <w:sz w:val="18"/>
          <w:szCs w:val="18"/>
        </w:rPr>
        <w:t>exemple, les cinémas), les centres commerciaux et commerces autres que ceux autorisés à rester ouverts, les restaurants et débits de boissons (la vente de plats à emporter est autorisée), les salles de danse et salles de jeux, les bibliothèques, centres de documentation, les salles d'expositions, les établissements sportifs couverts et musées étaient soumis à la fermeture au public.</w:t>
      </w:r>
    </w:p>
  </w:footnote>
  <w:footnote w:id="7">
    <w:p w14:paraId="353AAEED" w14:textId="77777777" w:rsidR="00E845A7" w:rsidRPr="00F54FAB" w:rsidRDefault="00E845A7" w:rsidP="00E845A7">
      <w:pPr>
        <w:pStyle w:val="Notedebasdepage"/>
        <w:rPr>
          <w:sz w:val="18"/>
          <w:szCs w:val="18"/>
        </w:rPr>
      </w:pPr>
      <w:r w:rsidRPr="00F54FAB">
        <w:rPr>
          <w:rStyle w:val="Appelnotedebasdep"/>
          <w:rFonts w:ascii="Times New Roman" w:hAnsi="Times New Roman" w:cs="Times New Roman"/>
          <w:sz w:val="18"/>
          <w:szCs w:val="18"/>
        </w:rPr>
        <w:footnoteRef/>
      </w:r>
      <w:r w:rsidRPr="00F54FAB">
        <w:rPr>
          <w:rFonts w:ascii="Times New Roman" w:hAnsi="Times New Roman" w:cs="Times New Roman"/>
          <w:sz w:val="18"/>
          <w:szCs w:val="18"/>
        </w:rPr>
        <w:t xml:space="preserve"> Question N° : 33984, 15ème législature, Risques de saturation de l'hôpital de Tahiti, en Polynésie Française à l’Assemblée nationale, 2020</w:t>
      </w:r>
      <w:r w:rsidRPr="00F54FAB">
        <w:rPr>
          <w:rFonts w:ascii="Times New Roman" w:hAnsi="Times New Roman" w:cs="Times New Roman"/>
          <w:i/>
          <w:iCs/>
          <w:sz w:val="18"/>
          <w:szCs w:val="18"/>
        </w:rPr>
        <w:t>.</w:t>
      </w:r>
    </w:p>
  </w:footnote>
  <w:footnote w:id="8">
    <w:p w14:paraId="1A0AA500" w14:textId="77777777" w:rsidR="00E845A7" w:rsidRPr="00445B75" w:rsidRDefault="00E845A7" w:rsidP="00E845A7">
      <w:pPr>
        <w:pStyle w:val="Notedebasdepage"/>
        <w:rPr>
          <w:rFonts w:ascii="Times New Roman" w:hAnsi="Times New Roman" w:cs="Times New Roman"/>
          <w:sz w:val="18"/>
          <w:szCs w:val="18"/>
        </w:rPr>
      </w:pPr>
      <w:r w:rsidRPr="00445B75">
        <w:rPr>
          <w:rStyle w:val="Appelnotedebasdep"/>
          <w:rFonts w:ascii="Times New Roman" w:hAnsi="Times New Roman" w:cs="Times New Roman"/>
          <w:sz w:val="18"/>
          <w:szCs w:val="18"/>
        </w:rPr>
        <w:footnoteRef/>
      </w:r>
      <w:r w:rsidRPr="00445B75">
        <w:rPr>
          <w:rFonts w:ascii="Times New Roman" w:hAnsi="Times New Roman" w:cs="Times New Roman"/>
          <w:sz w:val="18"/>
          <w:szCs w:val="18"/>
        </w:rPr>
        <w:t xml:space="preserve"> </w:t>
      </w:r>
      <w:hyperlink r:id="rId1" w:history="1">
        <w:r w:rsidRPr="00445B75">
          <w:rPr>
            <w:rStyle w:val="Lienhypertexte"/>
            <w:rFonts w:ascii="Times New Roman" w:hAnsi="Times New Roman" w:cs="Times New Roman"/>
            <w:sz w:val="18"/>
            <w:szCs w:val="18"/>
          </w:rPr>
          <w:t>https://www.service-public.pf/dgen/wp-content/uploads/sites/3/2021/07/Arrete-n%C2%B0-1016-CM-du-11_06_2021.pdf</w:t>
        </w:r>
      </w:hyperlink>
      <w:r w:rsidRPr="00445B75">
        <w:rPr>
          <w:rStyle w:val="markedcontent"/>
          <w:rFonts w:ascii="Times New Roman" w:hAnsi="Times New Roman" w:cs="Times New Roman"/>
          <w:sz w:val="18"/>
          <w:szCs w:val="18"/>
        </w:rPr>
        <w:t xml:space="preserve"> (consulté le 28 novembre 2022)</w:t>
      </w:r>
    </w:p>
  </w:footnote>
  <w:footnote w:id="9">
    <w:p w14:paraId="2568A321" w14:textId="77777777" w:rsidR="00E845A7" w:rsidRPr="00445B75" w:rsidRDefault="00E845A7" w:rsidP="00E845A7">
      <w:pPr>
        <w:pStyle w:val="Notedebasdepage"/>
        <w:rPr>
          <w:rFonts w:ascii="Times New Roman" w:hAnsi="Times New Roman" w:cs="Times New Roman"/>
          <w:sz w:val="18"/>
          <w:szCs w:val="18"/>
        </w:rPr>
      </w:pPr>
      <w:r w:rsidRPr="00445B75">
        <w:rPr>
          <w:rStyle w:val="Appelnotedebasdep"/>
          <w:rFonts w:ascii="Times New Roman" w:hAnsi="Times New Roman" w:cs="Times New Roman"/>
          <w:sz w:val="18"/>
          <w:szCs w:val="18"/>
        </w:rPr>
        <w:footnoteRef/>
      </w:r>
      <w:r w:rsidRPr="00445B75">
        <w:rPr>
          <w:rFonts w:ascii="Times New Roman" w:hAnsi="Times New Roman" w:cs="Times New Roman"/>
          <w:sz w:val="18"/>
          <w:szCs w:val="18"/>
        </w:rPr>
        <w:t xml:space="preserve"> </w:t>
      </w:r>
      <w:r w:rsidRPr="00445B75">
        <w:rPr>
          <w:rFonts w:ascii="Times New Roman" w:hAnsi="Times New Roman" w:cs="Times New Roman"/>
          <w:i/>
          <w:iCs/>
          <w:sz w:val="18"/>
          <w:szCs w:val="18"/>
        </w:rPr>
        <w:t>Ibid</w:t>
      </w:r>
      <w:r w:rsidRPr="00445B75">
        <w:rPr>
          <w:rFonts w:ascii="Times New Roman" w:hAnsi="Times New Roman" w:cs="Times New Roman"/>
          <w:sz w:val="18"/>
          <w:szCs w:val="18"/>
        </w:rPr>
        <w:t>.</w:t>
      </w:r>
    </w:p>
  </w:footnote>
  <w:footnote w:id="10">
    <w:p w14:paraId="3A46F052" w14:textId="77777777" w:rsidR="00E845A7" w:rsidRPr="00445B75" w:rsidRDefault="00E845A7" w:rsidP="00E845A7">
      <w:pPr>
        <w:pStyle w:val="Notedebasdepage"/>
        <w:jc w:val="both"/>
        <w:rPr>
          <w:rFonts w:ascii="Times New Roman" w:hAnsi="Times New Roman" w:cs="Times New Roman"/>
          <w:sz w:val="18"/>
          <w:szCs w:val="18"/>
        </w:rPr>
      </w:pPr>
      <w:r w:rsidRPr="00445B75">
        <w:rPr>
          <w:rStyle w:val="Appelnotedebasdep"/>
          <w:rFonts w:ascii="Times New Roman" w:hAnsi="Times New Roman" w:cs="Times New Roman"/>
          <w:sz w:val="18"/>
          <w:szCs w:val="18"/>
        </w:rPr>
        <w:footnoteRef/>
      </w:r>
      <w:hyperlink r:id="rId2" w:history="1">
        <w:r w:rsidRPr="00445B75">
          <w:rPr>
            <w:rStyle w:val="Lienhypertexte"/>
            <w:rFonts w:ascii="Times New Roman" w:hAnsi="Times New Roman" w:cs="Times New Roman"/>
            <w:sz w:val="18"/>
            <w:szCs w:val="18"/>
          </w:rPr>
          <w:t>https://www.service-public.pf/dgen/wp-content/uploads/sites/3/2022/06/Loi-du-Pays-n%C2%B0-2022-32-du-23_08_2022.pdf</w:t>
        </w:r>
      </w:hyperlink>
      <w:r w:rsidRPr="00445B75">
        <w:rPr>
          <w:rFonts w:ascii="Times New Roman" w:hAnsi="Times New Roman" w:cs="Times New Roman"/>
          <w:sz w:val="18"/>
          <w:szCs w:val="18"/>
        </w:rPr>
        <w:t xml:space="preserve"> (consulté le 28 novembre 2022)</w:t>
      </w:r>
    </w:p>
  </w:footnote>
  <w:footnote w:id="11">
    <w:p w14:paraId="4E7E50A1" w14:textId="77777777" w:rsidR="00E845A7" w:rsidRPr="00445B75" w:rsidRDefault="00E845A7" w:rsidP="00E845A7">
      <w:pPr>
        <w:pStyle w:val="Notedebasdepage"/>
        <w:rPr>
          <w:rFonts w:ascii="Times New Roman" w:hAnsi="Times New Roman" w:cs="Times New Roman"/>
          <w:sz w:val="18"/>
          <w:szCs w:val="18"/>
        </w:rPr>
      </w:pPr>
      <w:r w:rsidRPr="00445B75">
        <w:rPr>
          <w:rStyle w:val="Appelnotedebasdep"/>
          <w:rFonts w:ascii="Times New Roman" w:hAnsi="Times New Roman" w:cs="Times New Roman"/>
          <w:sz w:val="18"/>
          <w:szCs w:val="18"/>
        </w:rPr>
        <w:footnoteRef/>
      </w:r>
      <w:r w:rsidRPr="00445B75">
        <w:rPr>
          <w:rFonts w:ascii="Times New Roman" w:hAnsi="Times New Roman" w:cs="Times New Roman"/>
          <w:sz w:val="18"/>
          <w:szCs w:val="18"/>
        </w:rPr>
        <w:t xml:space="preserve"> </w:t>
      </w:r>
      <w:hyperlink r:id="rId3" w:history="1">
        <w:r w:rsidRPr="00445B75">
          <w:rPr>
            <w:rStyle w:val="Lienhypertexte"/>
            <w:rFonts w:ascii="Times New Roman" w:hAnsi="Times New Roman" w:cs="Times New Roman"/>
            <w:sz w:val="18"/>
            <w:szCs w:val="18"/>
          </w:rPr>
          <w:t>https://www.service-public.pf/art/demander-des-aides/</w:t>
        </w:r>
      </w:hyperlink>
      <w:r w:rsidRPr="00445B75">
        <w:rPr>
          <w:rFonts w:ascii="Times New Roman" w:hAnsi="Times New Roman" w:cs="Times New Roman"/>
          <w:sz w:val="18"/>
          <w:szCs w:val="18"/>
        </w:rPr>
        <w:t xml:space="preserve"> (consulté le 27 novembre 2022)</w:t>
      </w:r>
    </w:p>
  </w:footnote>
  <w:footnote w:id="12">
    <w:p w14:paraId="61941BCF" w14:textId="517BABDB" w:rsidR="0030350B" w:rsidRPr="0030350B" w:rsidRDefault="0030350B" w:rsidP="0030350B">
      <w:pPr>
        <w:pStyle w:val="PrformatHTML"/>
        <w:jc w:val="both"/>
        <w:rPr>
          <w:rFonts w:ascii="Times New Roman" w:hAnsi="Times New Roman" w:cs="Times New Roman"/>
        </w:rPr>
      </w:pPr>
      <w:r>
        <w:rPr>
          <w:rStyle w:val="Appelnotedebasdep"/>
        </w:rPr>
        <w:footnoteRef/>
      </w:r>
      <w:r w:rsidRPr="0030350B">
        <w:rPr>
          <w:rFonts w:ascii="Times New Roman" w:hAnsi="Times New Roman" w:cs="Times New Roman"/>
        </w:rPr>
        <w:t xml:space="preserve">Les arts de la scène et des festivités regroupent l’ensemble des activités (spectacle de danse, de musique, de chants, art oratoire du </w:t>
      </w:r>
      <w:r w:rsidRPr="0030350B">
        <w:rPr>
          <w:rFonts w:ascii="Times New Roman" w:hAnsi="Times New Roman" w:cs="Times New Roman"/>
          <w:i/>
          <w:iCs/>
        </w:rPr>
        <w:t>« 'ōrero »</w:t>
      </w:r>
      <w:r w:rsidRPr="0030350B">
        <w:rPr>
          <w:rFonts w:ascii="Times New Roman" w:hAnsi="Times New Roman" w:cs="Times New Roman"/>
        </w:rPr>
        <w:t>, théâtre) et des événements culturels (festivals, fêtes populaires, foires) qui sont organisés par des professionnels et/ou des amateurs et qui se déroulent sur le territoire polynésien voire qui peuvent s’exporter à l’échelle internationale. De nombreuses manifestations attestent de la part importante dédiée aux arts de la scène et du spectacle sur le territoire polynésien et de leurs valeurs marchandes et commerciales.</w:t>
      </w:r>
    </w:p>
  </w:footnote>
  <w:footnote w:id="13">
    <w:p w14:paraId="0D48F5D6" w14:textId="36750254" w:rsidR="0030350B" w:rsidRPr="0030350B" w:rsidRDefault="0030350B" w:rsidP="0030350B">
      <w:pPr>
        <w:pStyle w:val="NormalWeb"/>
        <w:spacing w:before="0" w:beforeAutospacing="0" w:after="0" w:afterAutospacing="0"/>
        <w:jc w:val="both"/>
        <w:rPr>
          <w:sz w:val="20"/>
          <w:szCs w:val="20"/>
        </w:rPr>
      </w:pPr>
      <w:r>
        <w:rPr>
          <w:rStyle w:val="Appelnotedebasdep"/>
        </w:rPr>
        <w:footnoteRef/>
      </w:r>
      <w:r w:rsidRPr="0030350B">
        <w:rPr>
          <w:sz w:val="20"/>
          <w:szCs w:val="20"/>
        </w:rPr>
        <w:t>Les arts visuels et l’artisanat regroupent toutes les activités en lien avec la création d’œuvres à caractère visuel et artistique (peinture, dessin, sculpture, artisanat, photographie). L’artisanat intègre les produits artisanaux fabriqués par des artisans, principalement à la main ou avec des outils manuels et parfois avec des moyens mécaniques, tant que l'apport manuel de l'artisan reste la part prédominante dans la création du produit final</w:t>
      </w:r>
      <w:r w:rsidRPr="0030350B">
        <w:rPr>
          <w:i/>
          <w:iCs/>
          <w:sz w:val="20"/>
          <w:szCs w:val="20"/>
        </w:rPr>
        <w:t>.</w:t>
      </w:r>
      <w:r w:rsidRPr="0030350B">
        <w:rPr>
          <w:sz w:val="20"/>
          <w:szCs w:val="20"/>
        </w:rPr>
        <w:t xml:space="preserve"> Selon les matériaux artisanaux employés dans la confection d’un produit traditionnel ou contemporain comme la vannerie, le cuir, le métal, le textile, la pierre, le bois, l’os, la nacre ou encore le verre d’une part ; et, d’autre part, selon les techniques et technologies utilisées, des catégories dans le champ de l’artisanat sont identifiées. </w:t>
      </w:r>
    </w:p>
  </w:footnote>
  <w:footnote w:id="14">
    <w:p w14:paraId="2C5F9487" w14:textId="69559A4A" w:rsidR="00526BD1" w:rsidRPr="00526BD1" w:rsidRDefault="00526BD1" w:rsidP="00526BD1">
      <w:pPr>
        <w:pStyle w:val="PrformatHTML"/>
        <w:jc w:val="both"/>
        <w:rPr>
          <w:rFonts w:ascii="Times New Roman" w:hAnsi="Times New Roman" w:cs="Times New Roman"/>
        </w:rPr>
      </w:pPr>
      <w:r>
        <w:rPr>
          <w:rStyle w:val="Appelnotedebasdep"/>
        </w:rPr>
        <w:footnoteRef/>
      </w:r>
      <w:r w:rsidRPr="00526BD1">
        <w:rPr>
          <w:rFonts w:ascii="Times New Roman" w:hAnsi="Times New Roman" w:cs="Times New Roman"/>
        </w:rPr>
        <w:t>Le livre et la presse regroupent les industries dont les activités sont liées à l’édition, qu’elle soit sous format papier, électronique et numérique, depuis la production, l’impression ou sa mise en ligne jusqu’à sa parution au public. Ainsi, l’édition de livre, de journaux, périodiques et toute forme de publications s’inscrivent dans le quatrième domaine.</w:t>
      </w:r>
    </w:p>
  </w:footnote>
  <w:footnote w:id="15">
    <w:p w14:paraId="7A32ED3F" w14:textId="6B310743" w:rsidR="00AB705D" w:rsidRPr="004B02B3" w:rsidRDefault="00AB705D" w:rsidP="00BA47C5">
      <w:pPr>
        <w:pStyle w:val="NormalWeb"/>
        <w:spacing w:before="0" w:beforeAutospacing="0" w:after="0" w:afterAutospacing="0"/>
        <w:jc w:val="both"/>
        <w:rPr>
          <w:sz w:val="20"/>
          <w:szCs w:val="20"/>
        </w:rPr>
      </w:pPr>
      <w:r>
        <w:rPr>
          <w:rStyle w:val="Appelnotedebasdep"/>
        </w:rPr>
        <w:footnoteRef/>
      </w:r>
      <w:r w:rsidRPr="00AB705D">
        <w:rPr>
          <w:sz w:val="20"/>
          <w:szCs w:val="20"/>
        </w:rPr>
        <w:t xml:space="preserve">L’audiovisuel et les médias interactifs regroupent l’ensemble des activités liées la radiophonie, la télévision, le cinéma, production filmographique, réalisation de documentaires, les vidéos, les réseaux sociaux, lesquels sont </w:t>
      </w:r>
      <w:r w:rsidRPr="004B02B3">
        <w:rPr>
          <w:sz w:val="20"/>
          <w:szCs w:val="20"/>
        </w:rPr>
        <w:t xml:space="preserve">diffusés en direct, sur les réseaux sociaux ou encore sur des supports numériques (streaming), internet et permettent la diffusion culturelle de leurs contenus. Ces supports constituent par ailleurs le socle de diffusion des médias interactifs (jeux en ligne, sites web, réseaux sociaux, etc.). </w:t>
      </w:r>
    </w:p>
  </w:footnote>
  <w:footnote w:id="16">
    <w:p w14:paraId="49F89C17" w14:textId="6C250510" w:rsidR="00BA47C5" w:rsidRPr="004B02B3" w:rsidRDefault="00BA47C5" w:rsidP="00BA47C5">
      <w:pPr>
        <w:pStyle w:val="NormalWeb"/>
        <w:spacing w:before="0" w:beforeAutospacing="0" w:after="0" w:afterAutospacing="0"/>
        <w:jc w:val="both"/>
        <w:rPr>
          <w:sz w:val="20"/>
          <w:szCs w:val="20"/>
        </w:rPr>
      </w:pPr>
      <w:r w:rsidRPr="004B02B3">
        <w:rPr>
          <w:rStyle w:val="Appelnotedebasdep"/>
          <w:sz w:val="20"/>
          <w:szCs w:val="20"/>
        </w:rPr>
        <w:footnoteRef/>
      </w:r>
      <w:r w:rsidRPr="004B02B3">
        <w:rPr>
          <w:sz w:val="20"/>
          <w:szCs w:val="20"/>
        </w:rPr>
        <w:t xml:space="preserve">Le stylisme regroupe les activités, les biens et les services liés à la conception et confection créative et artistique. </w:t>
      </w:r>
    </w:p>
  </w:footnote>
  <w:footnote w:id="17">
    <w:p w14:paraId="707711A8" w14:textId="39F67F8A" w:rsidR="00D33ABE" w:rsidRPr="005275B0" w:rsidRDefault="00D33ABE" w:rsidP="00D33ABE">
      <w:pPr>
        <w:adjustRightInd w:val="0"/>
        <w:snapToGrid w:val="0"/>
        <w:jc w:val="both"/>
        <w:rPr>
          <w:rFonts w:ascii="Times New Roman" w:hAnsi="Times New Roman" w:cs="Times New Roman"/>
          <w:sz w:val="20"/>
          <w:szCs w:val="20"/>
        </w:rPr>
      </w:pPr>
      <w:r w:rsidRPr="005275B0">
        <w:rPr>
          <w:rStyle w:val="Appelnotedebasdep"/>
          <w:rFonts w:ascii="Times New Roman" w:hAnsi="Times New Roman" w:cs="Times New Roman"/>
          <w:sz w:val="20"/>
          <w:szCs w:val="20"/>
        </w:rPr>
        <w:footnoteRef/>
      </w:r>
      <w:r w:rsidR="005275B0" w:rsidRPr="005275B0">
        <w:rPr>
          <w:rFonts w:ascii="Times New Roman" w:hAnsi="Times New Roman" w:cs="Times New Roman"/>
          <w:sz w:val="20"/>
          <w:szCs w:val="20"/>
        </w:rPr>
        <w:t>Lors du 19ème Salon des Australes, 3 responsables des fédérations des artisans des Australes ont été rencontrés. Ce salon a rassemblé une quarantaine d’artisans, commerçants et créateurs de l'archipel, mettant en avant leur savoir-faire et l'utilisation de matières premières. Trois responsables des fédérations, représentant Rimatara, Rapa et Tubuai, ont été interrogés. Au marché de Papeete, 12 artisans traditionnels ont été rencontrés, où de nombreux créateurs vendent des produits fabriqués à partir de matières locales ou étrangères. Lors du 7ème Salon des Tuamotu, 18 artisans traditionnels ont été interrogés, exposant des créations à base de matières des Tuamotu. Enfin, 15 artisans traditionnels, notamment sculpteurs, ont été rencontrés lors de la 52ème édition du Salon des Marquises. De plus, 1 collectionneur et 2 galeristes ont été interrogés pour évaluer le marché local des œuvres artistiques.</w:t>
      </w:r>
    </w:p>
  </w:footnote>
  <w:footnote w:id="18">
    <w:p w14:paraId="336116D3" w14:textId="14BA2B51" w:rsidR="00323F74" w:rsidRPr="000C50BB" w:rsidRDefault="00323F74" w:rsidP="00323F74">
      <w:pPr>
        <w:adjustRightInd w:val="0"/>
        <w:snapToGrid w:val="0"/>
        <w:jc w:val="both"/>
        <w:rPr>
          <w:rFonts w:ascii="Times New Roman" w:hAnsi="Times New Roman" w:cs="Times New Roman"/>
          <w:sz w:val="20"/>
          <w:szCs w:val="20"/>
        </w:rPr>
      </w:pPr>
      <w:r w:rsidRPr="000C50BB">
        <w:rPr>
          <w:rStyle w:val="Appelnotedebasdep"/>
          <w:rFonts w:ascii="Times New Roman" w:hAnsi="Times New Roman" w:cs="Times New Roman"/>
          <w:sz w:val="20"/>
          <w:szCs w:val="20"/>
        </w:rPr>
        <w:footnoteRef/>
      </w:r>
      <w:r w:rsidR="000C50BB" w:rsidRPr="000C50BB">
        <w:rPr>
          <w:rFonts w:ascii="Times New Roman" w:hAnsi="Times New Roman" w:cs="Times New Roman"/>
          <w:sz w:val="20"/>
          <w:szCs w:val="20"/>
        </w:rPr>
        <w:t xml:space="preserve">Lors du Salon </w:t>
      </w:r>
      <w:r w:rsidR="000C50BB" w:rsidRPr="00D05D2C">
        <w:rPr>
          <w:rFonts w:ascii="Times New Roman" w:hAnsi="Times New Roman" w:cs="Times New Roman"/>
          <w:i/>
          <w:iCs/>
          <w:sz w:val="20"/>
          <w:szCs w:val="20"/>
        </w:rPr>
        <w:t>Made in Fenua</w:t>
      </w:r>
      <w:r w:rsidR="000C50BB" w:rsidRPr="000C50BB">
        <w:rPr>
          <w:rFonts w:ascii="Times New Roman" w:hAnsi="Times New Roman" w:cs="Times New Roman"/>
          <w:sz w:val="20"/>
          <w:szCs w:val="20"/>
        </w:rPr>
        <w:t xml:space="preserve"> au Parc expo de Mama'o, 15 artisans couturiers ont été rencontrés. De plus, 9 artisans couturiers et stylistes gérant des boutiques de vêtements aux imprimés polynésiens ont été interrogés pour évaluer l'impact de la pandémie de Covid-19 et les stratégies adoptées pour surmonter les difficultés liées à cette crise sanitaire. L'étude visait également à analyser les modes de vente (salon, exposition, boutique), l'interdépendance avec la clientèle locale ou internationale, ainsi que la transmission des boutiques en tant que patrimoine.</w:t>
      </w:r>
    </w:p>
  </w:footnote>
  <w:footnote w:id="19">
    <w:p w14:paraId="59025840" w14:textId="23FCDFD0" w:rsidR="00BC3E9E" w:rsidRPr="009B6DB1" w:rsidRDefault="00BC3E9E" w:rsidP="009B6DB1">
      <w:pPr>
        <w:adjustRightInd w:val="0"/>
        <w:snapToGrid w:val="0"/>
        <w:jc w:val="both"/>
        <w:rPr>
          <w:rFonts w:ascii="Times New Roman" w:hAnsi="Times New Roman" w:cs="Times New Roman"/>
          <w:sz w:val="20"/>
          <w:szCs w:val="20"/>
        </w:rPr>
      </w:pPr>
      <w:r w:rsidRPr="00BC3E9E">
        <w:rPr>
          <w:rStyle w:val="Appelnotedebasdep"/>
          <w:rFonts w:ascii="Times New Roman" w:hAnsi="Times New Roman" w:cs="Times New Roman"/>
          <w:sz w:val="20"/>
          <w:szCs w:val="20"/>
        </w:rPr>
        <w:footnoteRef/>
      </w:r>
      <w:r w:rsidRPr="00BC3E9E">
        <w:rPr>
          <w:rFonts w:ascii="Times New Roman" w:hAnsi="Times New Roman" w:cs="Times New Roman"/>
          <w:sz w:val="20"/>
          <w:szCs w:val="20"/>
        </w:rPr>
        <w:t xml:space="preserve"> </w:t>
      </w:r>
      <w:r w:rsidR="00FD7339" w:rsidRPr="00FD7339">
        <w:rPr>
          <w:rFonts w:ascii="Times New Roman" w:hAnsi="Times New Roman" w:cs="Times New Roman"/>
          <w:sz w:val="20"/>
          <w:szCs w:val="20"/>
        </w:rPr>
        <w:t>Des réalisateurs de documentaires et des organisateurs du Festival International du Film Océanien (FIFO) ont été interviewés pour évaluer l'impact de la crise sur la fréquentation ainsi que les stratégies mises en place pour rendre les œuvres cinématographiques accessibles pendant la pandémie.</w:t>
      </w:r>
    </w:p>
  </w:footnote>
  <w:footnote w:id="20">
    <w:p w14:paraId="05F894D7" w14:textId="649BA69D" w:rsidR="009B6DB1" w:rsidRPr="0033465B" w:rsidRDefault="009B6DB1" w:rsidP="009B6DB1">
      <w:pPr>
        <w:pStyle w:val="Notedebasdepage"/>
        <w:jc w:val="both"/>
        <w:rPr>
          <w:rFonts w:ascii="Times New Roman" w:hAnsi="Times New Roman" w:cs="Times New Roman"/>
        </w:rPr>
      </w:pPr>
      <w:r w:rsidRPr="0033465B">
        <w:rPr>
          <w:rStyle w:val="Appelnotedebasdep"/>
          <w:rFonts w:ascii="Times New Roman" w:hAnsi="Times New Roman" w:cs="Times New Roman"/>
        </w:rPr>
        <w:footnoteRef/>
      </w:r>
      <w:r w:rsidRPr="0033465B">
        <w:rPr>
          <w:rFonts w:ascii="Times New Roman" w:hAnsi="Times New Roman" w:cs="Times New Roman"/>
        </w:rPr>
        <w:t xml:space="preserve"> </w:t>
      </w:r>
      <w:r w:rsidR="00FD7339" w:rsidRPr="00FD7339">
        <w:rPr>
          <w:rFonts w:ascii="Times New Roman" w:hAnsi="Times New Roman" w:cs="Times New Roman"/>
        </w:rPr>
        <w:t>Ils ont été questionnés pour évaluer les thématiques des diverses œuvres présentées, la fréquentation avant, pendant et après la levée des restrictions liées à la crise sanitaire, ainsi que pour mesurer les stratégies mises en place par les éditeurs en matière d'offres pour répondre à la demande des lecteurs.</w:t>
      </w:r>
    </w:p>
  </w:footnote>
  <w:footnote w:id="21">
    <w:p w14:paraId="680E1A3E" w14:textId="3574F66A" w:rsidR="00F959DA" w:rsidRPr="00FD7339" w:rsidRDefault="00F959DA" w:rsidP="00FD7339">
      <w:pPr>
        <w:adjustRightInd w:val="0"/>
        <w:snapToGrid w:val="0"/>
        <w:jc w:val="both"/>
        <w:rPr>
          <w:rFonts w:ascii="Times New Roman" w:hAnsi="Times New Roman" w:cs="Times New Roman"/>
          <w:sz w:val="20"/>
          <w:szCs w:val="20"/>
        </w:rPr>
      </w:pPr>
      <w:r w:rsidRPr="00FD7339">
        <w:rPr>
          <w:rStyle w:val="Appelnotedebasdep"/>
          <w:rFonts w:ascii="Times New Roman" w:hAnsi="Times New Roman" w:cs="Times New Roman"/>
          <w:sz w:val="20"/>
          <w:szCs w:val="20"/>
        </w:rPr>
        <w:footnoteRef/>
      </w:r>
      <w:r w:rsidR="00FD7339" w:rsidRPr="00FD7339">
        <w:rPr>
          <w:rFonts w:ascii="Times New Roman" w:hAnsi="Times New Roman" w:cs="Times New Roman"/>
          <w:sz w:val="20"/>
          <w:szCs w:val="20"/>
        </w:rPr>
        <w:t xml:space="preserve">Le Directeur du Centre des Métiers d’art a été interrogé sur les raisons d’inscription des stagiaires, leurs carrières post-formation, l'impact du confinement sur l'apprentissage à distance, l'approvisionnement en matières premières, et les innovations mises en place durant la crise sanitaire. Le Directeur et </w:t>
      </w:r>
      <w:r w:rsidR="00B63C60">
        <w:rPr>
          <w:rFonts w:ascii="Times New Roman" w:hAnsi="Times New Roman" w:cs="Times New Roman"/>
          <w:sz w:val="20"/>
          <w:szCs w:val="20"/>
        </w:rPr>
        <w:t xml:space="preserve">son </w:t>
      </w:r>
      <w:r w:rsidR="00FD7339" w:rsidRPr="00FD7339">
        <w:rPr>
          <w:rFonts w:ascii="Times New Roman" w:hAnsi="Times New Roman" w:cs="Times New Roman"/>
          <w:sz w:val="20"/>
          <w:szCs w:val="20"/>
        </w:rPr>
        <w:t xml:space="preserve">adjoint </w:t>
      </w:r>
      <w:r w:rsidR="00F60A36">
        <w:rPr>
          <w:rFonts w:ascii="Times New Roman" w:hAnsi="Times New Roman" w:cs="Times New Roman"/>
          <w:sz w:val="20"/>
          <w:szCs w:val="20"/>
        </w:rPr>
        <w:t>de TFTN</w:t>
      </w:r>
      <w:r w:rsidR="00FD7339" w:rsidRPr="00FD7339">
        <w:rPr>
          <w:rFonts w:ascii="Times New Roman" w:hAnsi="Times New Roman" w:cs="Times New Roman"/>
          <w:sz w:val="20"/>
          <w:szCs w:val="20"/>
        </w:rPr>
        <w:t xml:space="preserve"> ont été questionnés sur les événements organisés, tels que le FIFO, le Salon du livre et le Heiva, ainsi que sur la fréquentation, l'impact de la crise sur l'établissement et les stratégies pour maintenir les activités culturelles. Enfin, la Directrice du Musée de Tahiti et des îles a discuté de l’organisation du Musée pendant la crise et les actions pour garantir l'accès aux œuvres, tandis que le Directeur adjoint et le chargé de mission de la Direction de la culture ont abordé l'impact de la crise sur les sites culturels, historiques et patrimoniaux.</w:t>
      </w:r>
    </w:p>
  </w:footnote>
  <w:footnote w:id="22">
    <w:p w14:paraId="166782A1" w14:textId="25E01073" w:rsidR="00F127D6" w:rsidRPr="00FD7339" w:rsidRDefault="00F127D6" w:rsidP="00F127D6">
      <w:pPr>
        <w:pStyle w:val="Notedebasdepage"/>
        <w:jc w:val="both"/>
        <w:rPr>
          <w:rFonts w:ascii="Times New Roman" w:hAnsi="Times New Roman" w:cs="Times New Roman"/>
        </w:rPr>
      </w:pPr>
      <w:r w:rsidRPr="00FD7339">
        <w:rPr>
          <w:rStyle w:val="Appelnotedebasdep"/>
          <w:rFonts w:ascii="Times New Roman" w:hAnsi="Times New Roman" w:cs="Times New Roman"/>
        </w:rPr>
        <w:footnoteRef/>
      </w:r>
      <w:r w:rsidRPr="00FD7339">
        <w:rPr>
          <w:rFonts w:ascii="Times New Roman" w:hAnsi="Times New Roman" w:cs="Times New Roman"/>
        </w:rPr>
        <w:t xml:space="preserve"> Parmi eux, d</w:t>
      </w:r>
      <w:r w:rsidR="0010029D">
        <w:rPr>
          <w:rFonts w:ascii="Times New Roman" w:hAnsi="Times New Roman" w:cs="Times New Roman"/>
        </w:rPr>
        <w:t>’</w:t>
      </w:r>
      <w:r w:rsidRPr="00FD7339">
        <w:rPr>
          <w:rFonts w:ascii="Times New Roman" w:hAnsi="Times New Roman" w:cs="Times New Roman"/>
        </w:rPr>
        <w:t>anciens élèves du Centre des métiers d’arts ont été destinataires des questionnaires. Les résultats permettront d’évaluer, entre autres choses, l’insertion professionnelle d’élève formé aux arts plastiques et traditionnels dans le tissu économique polynésien.</w:t>
      </w:r>
    </w:p>
  </w:footnote>
  <w:footnote w:id="23">
    <w:p w14:paraId="1C0B17EF" w14:textId="46F9F28F" w:rsidR="00F734C1" w:rsidRPr="007C7B4B" w:rsidRDefault="00F734C1" w:rsidP="00F734C1">
      <w:pPr>
        <w:pStyle w:val="NormalWeb"/>
        <w:spacing w:before="0" w:beforeAutospacing="0" w:after="0" w:afterAutospacing="0"/>
        <w:jc w:val="both"/>
        <w:rPr>
          <w:sz w:val="18"/>
          <w:szCs w:val="18"/>
        </w:rPr>
      </w:pPr>
      <w:r w:rsidRPr="00106982">
        <w:rPr>
          <w:rStyle w:val="Appelnotedebasdep"/>
          <w:sz w:val="18"/>
          <w:szCs w:val="18"/>
        </w:rPr>
        <w:footnoteRef/>
      </w:r>
      <w:r w:rsidRPr="00106982">
        <w:rPr>
          <w:sz w:val="18"/>
          <w:szCs w:val="18"/>
        </w:rPr>
        <w:t xml:space="preserve"> </w:t>
      </w:r>
      <w:r w:rsidRPr="007C7B4B">
        <w:rPr>
          <w:sz w:val="18"/>
          <w:szCs w:val="18"/>
        </w:rPr>
        <w:t xml:space="preserve">En 2022, 18 groupes de chants et danses se sont représentés sur scène. 9 </w:t>
      </w:r>
      <w:r w:rsidRPr="007C7B4B">
        <w:rPr>
          <w:rStyle w:val="Accentuation"/>
          <w:sz w:val="18"/>
          <w:szCs w:val="18"/>
        </w:rPr>
        <w:t>pupu ‘ori</w:t>
      </w:r>
      <w:r w:rsidRPr="007C7B4B">
        <w:rPr>
          <w:sz w:val="18"/>
          <w:szCs w:val="18"/>
        </w:rPr>
        <w:t xml:space="preserve"> (groupes de danse) dont 3 en catégorie </w:t>
      </w:r>
      <w:r w:rsidRPr="007C7B4B">
        <w:rPr>
          <w:rStyle w:val="Accentuation"/>
          <w:sz w:val="18"/>
          <w:szCs w:val="18"/>
        </w:rPr>
        <w:t>hura ava tau</w:t>
      </w:r>
      <w:r w:rsidRPr="007C7B4B">
        <w:rPr>
          <w:sz w:val="18"/>
          <w:szCs w:val="18"/>
        </w:rPr>
        <w:t xml:space="preserve">, 6 en </w:t>
      </w:r>
      <w:r w:rsidRPr="007C7B4B">
        <w:rPr>
          <w:rStyle w:val="Accentuation"/>
          <w:sz w:val="18"/>
          <w:szCs w:val="18"/>
        </w:rPr>
        <w:t>hura tau</w:t>
      </w:r>
      <w:r w:rsidRPr="007C7B4B">
        <w:rPr>
          <w:sz w:val="18"/>
          <w:szCs w:val="18"/>
        </w:rPr>
        <w:t xml:space="preserve"> ; et 9 </w:t>
      </w:r>
      <w:r w:rsidRPr="007C7B4B">
        <w:rPr>
          <w:rStyle w:val="Accentuation"/>
          <w:sz w:val="18"/>
          <w:szCs w:val="18"/>
        </w:rPr>
        <w:t>pupu hīmene (groupes de chants) dont</w:t>
      </w:r>
      <w:r w:rsidRPr="007C7B4B">
        <w:rPr>
          <w:sz w:val="18"/>
          <w:szCs w:val="18"/>
        </w:rPr>
        <w:t xml:space="preserve"> 4 en </w:t>
      </w:r>
      <w:r w:rsidRPr="007C7B4B">
        <w:rPr>
          <w:rStyle w:val="Accentuation"/>
          <w:sz w:val="18"/>
          <w:szCs w:val="18"/>
        </w:rPr>
        <w:t>tārava Tahiti</w:t>
      </w:r>
      <w:r w:rsidRPr="007C7B4B">
        <w:rPr>
          <w:sz w:val="18"/>
          <w:szCs w:val="18"/>
        </w:rPr>
        <w:t xml:space="preserve">, 1 en </w:t>
      </w:r>
      <w:r w:rsidRPr="007C7B4B">
        <w:rPr>
          <w:rStyle w:val="Accentuation"/>
          <w:sz w:val="18"/>
          <w:szCs w:val="18"/>
        </w:rPr>
        <w:t>tārava Raromata’i</w:t>
      </w:r>
      <w:r w:rsidRPr="007C7B4B">
        <w:rPr>
          <w:sz w:val="18"/>
          <w:szCs w:val="18"/>
        </w:rPr>
        <w:t xml:space="preserve"> et 4 en </w:t>
      </w:r>
      <w:r w:rsidRPr="007C7B4B">
        <w:rPr>
          <w:rStyle w:val="Accentuation"/>
          <w:sz w:val="18"/>
          <w:szCs w:val="18"/>
        </w:rPr>
        <w:t>tārava Tuha’a Pae</w:t>
      </w:r>
      <w:r w:rsidRPr="007C7B4B">
        <w:rPr>
          <w:sz w:val="18"/>
          <w:szCs w:val="18"/>
        </w:rPr>
        <w:t xml:space="preserve"> ont présenté leurs talents sur la scène de </w:t>
      </w:r>
      <w:r w:rsidRPr="007C7B4B">
        <w:rPr>
          <w:i/>
          <w:iCs/>
          <w:sz w:val="18"/>
          <w:szCs w:val="18"/>
        </w:rPr>
        <w:t>To’ata</w:t>
      </w:r>
      <w:r w:rsidRPr="007C7B4B">
        <w:rPr>
          <w:sz w:val="18"/>
          <w:szCs w:val="18"/>
        </w:rPr>
        <w:t xml:space="preserve"> dans les jardins de </w:t>
      </w:r>
      <w:r w:rsidRPr="007C7B4B">
        <w:rPr>
          <w:i/>
          <w:iCs/>
          <w:sz w:val="18"/>
          <w:szCs w:val="18"/>
        </w:rPr>
        <w:t>Pa’ofai</w:t>
      </w:r>
      <w:r w:rsidRPr="007C7B4B">
        <w:rPr>
          <w:sz w:val="18"/>
          <w:szCs w:val="18"/>
        </w:rPr>
        <w:t>. Ces arts de la scène ont été associés aux arts de la confection</w:t>
      </w:r>
      <w:r w:rsidR="00881B0F">
        <w:rPr>
          <w:sz w:val="18"/>
          <w:szCs w:val="18"/>
        </w:rPr>
        <w:t>,</w:t>
      </w:r>
      <w:r w:rsidRPr="007C7B4B">
        <w:rPr>
          <w:sz w:val="18"/>
          <w:szCs w:val="18"/>
        </w:rPr>
        <w:t xml:space="preserve"> car en effet, les différents groupes de danse et de chants traditionnels ont fait appel à des costumiers-designer, fournisseurs de matières premières (plante, pandanus, nacre, coquillage, bois, etc.) et des fabricants d’instruments comme de décors. </w:t>
      </w:r>
    </w:p>
  </w:footnote>
  <w:footnote w:id="24">
    <w:p w14:paraId="70A1DD33" w14:textId="2B997680" w:rsidR="00F734C1" w:rsidRPr="007C7B4B" w:rsidRDefault="00F734C1" w:rsidP="00F734C1">
      <w:pPr>
        <w:pStyle w:val="NormalWeb"/>
        <w:spacing w:before="0" w:beforeAutospacing="0" w:after="0" w:afterAutospacing="0"/>
        <w:jc w:val="both"/>
        <w:rPr>
          <w:sz w:val="18"/>
          <w:szCs w:val="18"/>
        </w:rPr>
      </w:pPr>
      <w:r w:rsidRPr="007C7B4B">
        <w:rPr>
          <w:rStyle w:val="Appelnotedebasdep"/>
          <w:sz w:val="18"/>
          <w:szCs w:val="18"/>
        </w:rPr>
        <w:footnoteRef/>
      </w:r>
      <w:r w:rsidRPr="007C7B4B">
        <w:rPr>
          <w:sz w:val="18"/>
          <w:szCs w:val="18"/>
        </w:rPr>
        <w:t xml:space="preserve"> Juste après le </w:t>
      </w:r>
      <w:r w:rsidRPr="007C7B4B">
        <w:rPr>
          <w:i/>
          <w:iCs/>
          <w:sz w:val="18"/>
          <w:szCs w:val="18"/>
        </w:rPr>
        <w:t>Heiva</w:t>
      </w:r>
      <w:r w:rsidRPr="007C7B4B">
        <w:rPr>
          <w:sz w:val="18"/>
          <w:szCs w:val="18"/>
        </w:rPr>
        <w:t xml:space="preserve"> vient le </w:t>
      </w:r>
      <w:r w:rsidRPr="007C7B4B">
        <w:rPr>
          <w:i/>
          <w:iCs/>
          <w:sz w:val="18"/>
          <w:szCs w:val="18"/>
        </w:rPr>
        <w:t>Hura Tapairu</w:t>
      </w:r>
      <w:r w:rsidRPr="007C7B4B">
        <w:rPr>
          <w:sz w:val="18"/>
          <w:szCs w:val="18"/>
        </w:rPr>
        <w:t xml:space="preserve"> qui est un également un événement, mais de moindre envergure, qui rassemble des groupes de danse, lesquels se produisent sur scène au Grand théâtre de TFTN.</w:t>
      </w:r>
    </w:p>
  </w:footnote>
  <w:footnote w:id="25">
    <w:p w14:paraId="46AE1DAA" w14:textId="77777777" w:rsidR="00CF6794" w:rsidRPr="00047D45" w:rsidRDefault="00CF6794" w:rsidP="00CF6794">
      <w:pPr>
        <w:pStyle w:val="Notedebasdepage"/>
        <w:rPr>
          <w:rFonts w:ascii="Times New Roman" w:hAnsi="Times New Roman" w:cs="Times New Roman"/>
          <w:sz w:val="18"/>
          <w:szCs w:val="18"/>
        </w:rPr>
      </w:pPr>
      <w:r w:rsidRPr="00047D45">
        <w:rPr>
          <w:rStyle w:val="Appelnotedebasdep"/>
          <w:rFonts w:ascii="Times New Roman" w:hAnsi="Times New Roman" w:cs="Times New Roman"/>
          <w:sz w:val="18"/>
          <w:szCs w:val="18"/>
        </w:rPr>
        <w:footnoteRef/>
      </w:r>
      <w:hyperlink r:id="rId4" w:history="1">
        <w:r w:rsidRPr="00047D45">
          <w:rPr>
            <w:rStyle w:val="Lienhypertexte"/>
            <w:rFonts w:ascii="Times New Roman" w:hAnsi="Times New Roman" w:cs="Times New Roman"/>
            <w:sz w:val="18"/>
            <w:szCs w:val="18"/>
          </w:rPr>
          <w:t>https://lexpol.cloud.pf/document.php?document=325004&amp;deb=1972&amp;fin=1974&amp;titre=TG9pIGR1IFBheXMgbsKwIDIwMTYtMTggZHUgMTkvMDUvMjAxNg==</w:t>
        </w:r>
      </w:hyperlink>
      <w:r w:rsidRPr="00047D45">
        <w:rPr>
          <w:rFonts w:ascii="Times New Roman" w:hAnsi="Times New Roman" w:cs="Times New Roman"/>
          <w:sz w:val="18"/>
          <w:szCs w:val="18"/>
        </w:rPr>
        <w:t xml:space="preserve"> (consulté le 26 novembre 2022)</w:t>
      </w:r>
    </w:p>
  </w:footnote>
  <w:footnote w:id="26">
    <w:p w14:paraId="726F631B" w14:textId="77777777" w:rsidR="009842A1" w:rsidRPr="009017F6" w:rsidRDefault="009842A1" w:rsidP="009842A1">
      <w:pPr>
        <w:pStyle w:val="Notedebasdepage"/>
        <w:rPr>
          <w:rFonts w:ascii="Times New Roman" w:hAnsi="Times New Roman" w:cs="Times New Roman"/>
          <w:sz w:val="18"/>
          <w:szCs w:val="18"/>
        </w:rPr>
      </w:pPr>
      <w:r w:rsidRPr="009017F6">
        <w:rPr>
          <w:rStyle w:val="Appelnotedebasdep"/>
          <w:rFonts w:ascii="Times New Roman" w:hAnsi="Times New Roman" w:cs="Times New Roman"/>
          <w:sz w:val="18"/>
          <w:szCs w:val="18"/>
        </w:rPr>
        <w:footnoteRef/>
      </w:r>
      <w:r w:rsidRPr="009017F6">
        <w:rPr>
          <w:rFonts w:ascii="Times New Roman" w:hAnsi="Times New Roman" w:cs="Times New Roman"/>
          <w:sz w:val="18"/>
          <w:szCs w:val="18"/>
        </w:rPr>
        <w:t xml:space="preserve"> Rapport d’activité de la Maison de la Culture – Te Fare Tauhiti Nui, 2021 : 7</w:t>
      </w:r>
    </w:p>
  </w:footnote>
  <w:footnote w:id="27">
    <w:p w14:paraId="182CA121" w14:textId="77777777" w:rsidR="00F734C1" w:rsidRPr="001B2379" w:rsidRDefault="00F734C1" w:rsidP="00F734C1">
      <w:pPr>
        <w:pStyle w:val="NormalWeb"/>
        <w:spacing w:before="0" w:beforeAutospacing="0" w:after="0" w:afterAutospacing="0"/>
        <w:jc w:val="both"/>
        <w:rPr>
          <w:sz w:val="18"/>
          <w:szCs w:val="18"/>
        </w:rPr>
      </w:pPr>
      <w:r w:rsidRPr="002A16DC">
        <w:rPr>
          <w:rStyle w:val="Appelnotedebasdep"/>
          <w:sz w:val="18"/>
          <w:szCs w:val="18"/>
        </w:rPr>
        <w:footnoteRef/>
      </w:r>
      <w:r w:rsidRPr="002A16DC">
        <w:rPr>
          <w:sz w:val="18"/>
          <w:szCs w:val="18"/>
        </w:rPr>
        <w:t xml:space="preserve"> Le cadre de l’UNESCO pour les statistiques culturelles (CSC), 2009 : 26</w:t>
      </w:r>
    </w:p>
  </w:footnote>
  <w:footnote w:id="28">
    <w:p w14:paraId="07A987E3" w14:textId="77777777" w:rsidR="00F734C1" w:rsidRPr="006D57C3" w:rsidRDefault="00F734C1" w:rsidP="00F734C1">
      <w:pPr>
        <w:pStyle w:val="Notedebasdepage"/>
        <w:rPr>
          <w:rFonts w:ascii="Times New Roman" w:hAnsi="Times New Roman" w:cs="Times New Roman"/>
          <w:sz w:val="18"/>
          <w:szCs w:val="18"/>
        </w:rPr>
      </w:pPr>
      <w:r w:rsidRPr="006D57C3">
        <w:rPr>
          <w:rStyle w:val="Appelnotedebasdep"/>
          <w:rFonts w:ascii="Times New Roman" w:hAnsi="Times New Roman" w:cs="Times New Roman"/>
          <w:sz w:val="18"/>
          <w:szCs w:val="18"/>
        </w:rPr>
        <w:footnoteRef/>
      </w:r>
      <w:r w:rsidRPr="006D57C3">
        <w:rPr>
          <w:rFonts w:ascii="Times New Roman" w:hAnsi="Times New Roman" w:cs="Times New Roman"/>
          <w:sz w:val="18"/>
          <w:szCs w:val="18"/>
        </w:rPr>
        <w:t xml:space="preserve"> Le premier confinement a eu lieu de mars à mai 2020 et le second, de août à septembre 2020.</w:t>
      </w:r>
    </w:p>
  </w:footnote>
  <w:footnote w:id="29">
    <w:p w14:paraId="4EF1568B" w14:textId="2411018F" w:rsidR="00F734C1" w:rsidRPr="006D57C3" w:rsidRDefault="00F734C1" w:rsidP="00F734C1">
      <w:pPr>
        <w:pStyle w:val="NormalWeb"/>
        <w:spacing w:before="0" w:beforeAutospacing="0" w:after="0" w:afterAutospacing="0"/>
        <w:jc w:val="both"/>
        <w:rPr>
          <w:sz w:val="18"/>
          <w:szCs w:val="18"/>
        </w:rPr>
      </w:pPr>
      <w:r w:rsidRPr="006D57C3">
        <w:rPr>
          <w:rStyle w:val="Appelnotedebasdep"/>
          <w:sz w:val="18"/>
          <w:szCs w:val="18"/>
        </w:rPr>
        <w:footnoteRef/>
      </w:r>
      <w:r w:rsidRPr="006D57C3">
        <w:rPr>
          <w:sz w:val="18"/>
          <w:szCs w:val="18"/>
        </w:rPr>
        <w:t xml:space="preserve"> Les enquêtes </w:t>
      </w:r>
      <w:r w:rsidR="00EC4287">
        <w:rPr>
          <w:i/>
          <w:iCs/>
          <w:sz w:val="18"/>
          <w:szCs w:val="18"/>
        </w:rPr>
        <w:t>F</w:t>
      </w:r>
      <w:r w:rsidR="00EC4287" w:rsidRPr="00EC4287">
        <w:rPr>
          <w:i/>
          <w:iCs/>
          <w:sz w:val="18"/>
          <w:szCs w:val="18"/>
        </w:rPr>
        <w:t>ēti'i</w:t>
      </w:r>
      <w:r w:rsidRPr="006D57C3">
        <w:rPr>
          <w:i/>
          <w:iCs/>
          <w:sz w:val="18"/>
          <w:szCs w:val="18"/>
        </w:rPr>
        <w:t xml:space="preserve"> e fenua</w:t>
      </w:r>
      <w:r w:rsidRPr="006D57C3">
        <w:rPr>
          <w:sz w:val="18"/>
          <w:szCs w:val="18"/>
        </w:rPr>
        <w:t xml:space="preserve"> menées 2019 et 2020 éclairent sur la dispersion spatiale des familles polynésiennes et met en évidence l’importance des relations entretenues entre leurs membres dans un contexte de mobilité inter-archipel en Polynésie française. </w:t>
      </w:r>
      <w:hyperlink r:id="rId5" w:history="1">
        <w:r w:rsidRPr="006D57C3">
          <w:rPr>
            <w:rStyle w:val="Lienhypertexte"/>
            <w:sz w:val="18"/>
            <w:szCs w:val="18"/>
          </w:rPr>
          <w:t>https://data.ispf.pf/docs/default-source/publi-pf-bilans-et-etudes/1295-fetii-e-fenua.pdf?sfvrsn=12</w:t>
        </w:r>
      </w:hyperlink>
      <w:r w:rsidRPr="006D57C3">
        <w:rPr>
          <w:sz w:val="18"/>
          <w:szCs w:val="18"/>
        </w:rPr>
        <w:t xml:space="preserve"> (consulté le 13 décembre 2022)</w:t>
      </w:r>
    </w:p>
  </w:footnote>
  <w:footnote w:id="30">
    <w:p w14:paraId="283FF719" w14:textId="42C7085E" w:rsidR="00F734C1" w:rsidRPr="000219B7" w:rsidRDefault="00F734C1" w:rsidP="00F734C1">
      <w:pPr>
        <w:pStyle w:val="Notedebasdepage"/>
        <w:jc w:val="both"/>
        <w:rPr>
          <w:sz w:val="18"/>
          <w:szCs w:val="18"/>
        </w:rPr>
      </w:pPr>
      <w:r w:rsidRPr="006D57C3">
        <w:rPr>
          <w:rStyle w:val="Appelnotedebasdep"/>
          <w:rFonts w:ascii="Times New Roman" w:hAnsi="Times New Roman" w:cs="Times New Roman"/>
          <w:sz w:val="18"/>
          <w:szCs w:val="18"/>
        </w:rPr>
        <w:footnoteRef/>
      </w:r>
      <w:r w:rsidRPr="006D57C3">
        <w:rPr>
          <w:rFonts w:ascii="Times New Roman" w:hAnsi="Times New Roman" w:cs="Times New Roman"/>
          <w:sz w:val="18"/>
          <w:szCs w:val="18"/>
        </w:rPr>
        <w:t>Terme le plus employé par les artisans interrogés pour qualifier la crise sanitaire.</w:t>
      </w:r>
    </w:p>
  </w:footnote>
  <w:footnote w:id="31">
    <w:p w14:paraId="4DE60DA8" w14:textId="77777777" w:rsidR="00F734C1" w:rsidRPr="00C6562D" w:rsidRDefault="00F734C1" w:rsidP="00F734C1">
      <w:pPr>
        <w:pStyle w:val="Notedebasdepage"/>
        <w:rPr>
          <w:rFonts w:ascii="Times New Roman" w:hAnsi="Times New Roman" w:cs="Times New Roman"/>
          <w:sz w:val="18"/>
          <w:szCs w:val="18"/>
        </w:rPr>
      </w:pPr>
      <w:r w:rsidRPr="00C6562D">
        <w:rPr>
          <w:rStyle w:val="Appelnotedebasdep"/>
          <w:rFonts w:ascii="Times New Roman" w:hAnsi="Times New Roman" w:cs="Times New Roman"/>
          <w:sz w:val="18"/>
          <w:szCs w:val="18"/>
        </w:rPr>
        <w:footnoteRef/>
      </w:r>
      <w:r w:rsidRPr="00C6562D">
        <w:rPr>
          <w:rFonts w:ascii="Times New Roman" w:hAnsi="Times New Roman" w:cs="Times New Roman"/>
          <w:sz w:val="18"/>
          <w:szCs w:val="18"/>
        </w:rPr>
        <w:t xml:space="preserve"> Rapport d’activité de la Maison de la Culture – Te Fare Tauhiti Nui, 2021 : 21</w:t>
      </w:r>
    </w:p>
  </w:footnote>
  <w:footnote w:id="32">
    <w:p w14:paraId="0DA6CD49" w14:textId="77777777" w:rsidR="00F734C1" w:rsidRPr="0085085C" w:rsidRDefault="00F734C1" w:rsidP="00F734C1">
      <w:pPr>
        <w:pStyle w:val="Notedebasdepage"/>
        <w:rPr>
          <w:sz w:val="18"/>
          <w:szCs w:val="18"/>
        </w:rPr>
      </w:pPr>
      <w:r w:rsidRPr="00C6562D">
        <w:rPr>
          <w:rStyle w:val="Appelnotedebasdep"/>
          <w:rFonts w:ascii="Times New Roman" w:hAnsi="Times New Roman" w:cs="Times New Roman"/>
          <w:sz w:val="18"/>
          <w:szCs w:val="18"/>
        </w:rPr>
        <w:footnoteRef/>
      </w:r>
      <w:r w:rsidRPr="00C6562D">
        <w:rPr>
          <w:rFonts w:ascii="Times New Roman" w:hAnsi="Times New Roman" w:cs="Times New Roman"/>
          <w:sz w:val="18"/>
          <w:szCs w:val="18"/>
        </w:rPr>
        <w:t xml:space="preserve"> </w:t>
      </w:r>
      <w:r w:rsidRPr="00C6562D">
        <w:rPr>
          <w:rFonts w:ascii="Times New Roman" w:hAnsi="Times New Roman" w:cs="Times New Roman"/>
          <w:i/>
          <w:iCs/>
          <w:sz w:val="18"/>
          <w:szCs w:val="18"/>
        </w:rPr>
        <w:t>Ibid</w:t>
      </w:r>
      <w:r w:rsidRPr="00C6562D">
        <w:rPr>
          <w:rFonts w:ascii="Times New Roman" w:hAnsi="Times New Roman" w:cs="Times New Roman"/>
          <w:sz w:val="18"/>
          <w:szCs w:val="18"/>
        </w:rPr>
        <w:t>.</w:t>
      </w:r>
    </w:p>
  </w:footnote>
  <w:footnote w:id="33">
    <w:p w14:paraId="6F5E50AB" w14:textId="77777777" w:rsidR="00F734C1" w:rsidRPr="003221E5" w:rsidRDefault="00F734C1" w:rsidP="00F734C1">
      <w:pPr>
        <w:pStyle w:val="Notedebasdepage"/>
        <w:rPr>
          <w:rFonts w:ascii="Times New Roman" w:hAnsi="Times New Roman" w:cs="Times New Roman"/>
          <w:sz w:val="18"/>
          <w:szCs w:val="18"/>
        </w:rPr>
      </w:pPr>
      <w:r w:rsidRPr="003221E5">
        <w:rPr>
          <w:rStyle w:val="Appelnotedebasdep"/>
          <w:rFonts w:ascii="Times New Roman" w:hAnsi="Times New Roman" w:cs="Times New Roman"/>
          <w:sz w:val="18"/>
          <w:szCs w:val="18"/>
        </w:rPr>
        <w:footnoteRef/>
      </w:r>
      <w:r w:rsidRPr="003221E5">
        <w:rPr>
          <w:rFonts w:ascii="Times New Roman" w:hAnsi="Times New Roman" w:cs="Times New Roman"/>
          <w:sz w:val="18"/>
          <w:szCs w:val="18"/>
        </w:rPr>
        <w:t xml:space="preserve"> L’édition de 2021 a été entière numérique et celle de 2022 a été mixte, en présentiel et en ligne.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D18"/>
    <w:multiLevelType w:val="hybridMultilevel"/>
    <w:tmpl w:val="AC1C5094"/>
    <w:lvl w:ilvl="0" w:tplc="1878091A">
      <w:start w:val="2021"/>
      <w:numFmt w:val="bullet"/>
      <w:lvlText w:val="-"/>
      <w:lvlJc w:val="left"/>
      <w:pPr>
        <w:ind w:left="720" w:hanging="360"/>
      </w:pPr>
      <w:rPr>
        <w:rFonts w:ascii="Times New Roman" w:eastAsiaTheme="minorHAnsi"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361D30"/>
    <w:multiLevelType w:val="hybridMultilevel"/>
    <w:tmpl w:val="7F88F4DE"/>
    <w:lvl w:ilvl="0" w:tplc="9DF677D8">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5D3F54"/>
    <w:multiLevelType w:val="hybridMultilevel"/>
    <w:tmpl w:val="99D614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D97675"/>
    <w:multiLevelType w:val="hybridMultilevel"/>
    <w:tmpl w:val="D4B49A8E"/>
    <w:lvl w:ilvl="0" w:tplc="AD1A7320">
      <w:start w:val="2"/>
      <w:numFmt w:val="bullet"/>
      <w:lvlText w:val="-"/>
      <w:lvlJc w:val="left"/>
      <w:pPr>
        <w:ind w:left="720" w:hanging="360"/>
      </w:pPr>
      <w:rPr>
        <w:rFonts w:ascii="Cambria" w:hAnsi="Cambria" w:cstheme="minorBidi" w:hint="default"/>
        <w:spacing w:val="1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6D343C"/>
    <w:multiLevelType w:val="hybridMultilevel"/>
    <w:tmpl w:val="0F4666E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6366D9"/>
    <w:multiLevelType w:val="multilevel"/>
    <w:tmpl w:val="772C2FE0"/>
    <w:lvl w:ilvl="0">
      <w:start w:val="1"/>
      <w:numFmt w:val="decimal"/>
      <w:lvlText w:val="%1."/>
      <w:lvlJc w:val="left"/>
      <w:pPr>
        <w:ind w:left="720" w:hanging="360"/>
      </w:pPr>
      <w:rPr>
        <w:rFonts w:hint="default"/>
        <w:sz w:val="24"/>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8A3272"/>
    <w:multiLevelType w:val="hybridMultilevel"/>
    <w:tmpl w:val="DAB4DB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237A8D"/>
    <w:multiLevelType w:val="hybridMultilevel"/>
    <w:tmpl w:val="3A1480F6"/>
    <w:lvl w:ilvl="0" w:tplc="88966198">
      <w:numFmt w:val="bullet"/>
      <w:lvlText w:val="-"/>
      <w:lvlJc w:val="left"/>
      <w:pPr>
        <w:ind w:left="720" w:hanging="360"/>
      </w:pPr>
      <w:rPr>
        <w:rFonts w:ascii="Times" w:eastAsiaTheme="minorHAnsi" w:hAnsi="Times" w:cs="Times New Roman" w:hint="default"/>
        <w:b w:val="0"/>
        <w:bCs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980EF7"/>
    <w:multiLevelType w:val="hybridMultilevel"/>
    <w:tmpl w:val="BF06D9A0"/>
    <w:lvl w:ilvl="0" w:tplc="88966198">
      <w:numFmt w:val="bullet"/>
      <w:lvlText w:val="-"/>
      <w:lvlJc w:val="left"/>
      <w:pPr>
        <w:ind w:left="1080" w:hanging="360"/>
      </w:pPr>
      <w:rPr>
        <w:rFonts w:ascii="Times" w:eastAsiaTheme="minorHAnsi" w:hAnsi="Times" w:cs="Times New Roman" w:hint="default"/>
        <w:b w:val="0"/>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ACE035A"/>
    <w:multiLevelType w:val="hybridMultilevel"/>
    <w:tmpl w:val="CCF08AF4"/>
    <w:lvl w:ilvl="0" w:tplc="CA1E7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CE7018C"/>
    <w:multiLevelType w:val="hybridMultilevel"/>
    <w:tmpl w:val="A9EC44F4"/>
    <w:lvl w:ilvl="0" w:tplc="EFFC22D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D80E90"/>
    <w:multiLevelType w:val="hybridMultilevel"/>
    <w:tmpl w:val="BBCAC18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462200"/>
    <w:multiLevelType w:val="hybridMultilevel"/>
    <w:tmpl w:val="EC5C11CE"/>
    <w:lvl w:ilvl="0" w:tplc="88966198">
      <w:numFmt w:val="bullet"/>
      <w:lvlText w:val="-"/>
      <w:lvlJc w:val="left"/>
      <w:pPr>
        <w:ind w:left="720" w:hanging="360"/>
      </w:pPr>
      <w:rPr>
        <w:rFonts w:ascii="Times" w:eastAsiaTheme="minorHAnsi" w:hAnsi="Times" w:cs="Times New Roman" w:hint="default"/>
        <w:b w:val="0"/>
        <w:bCs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071BB8"/>
    <w:multiLevelType w:val="hybridMultilevel"/>
    <w:tmpl w:val="379AA200"/>
    <w:lvl w:ilvl="0" w:tplc="88966198">
      <w:numFmt w:val="bullet"/>
      <w:lvlText w:val="-"/>
      <w:lvlJc w:val="left"/>
      <w:pPr>
        <w:ind w:left="720" w:hanging="360"/>
      </w:pPr>
      <w:rPr>
        <w:rFonts w:ascii="Times" w:eastAsiaTheme="minorHAnsi" w:hAnsi="Time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632E9B"/>
    <w:multiLevelType w:val="multilevel"/>
    <w:tmpl w:val="6D863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C101B1"/>
    <w:multiLevelType w:val="hybridMultilevel"/>
    <w:tmpl w:val="1E8C4F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DDE4D83"/>
    <w:multiLevelType w:val="hybridMultilevel"/>
    <w:tmpl w:val="16C0165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4D0492"/>
    <w:multiLevelType w:val="hybridMultilevel"/>
    <w:tmpl w:val="478C1548"/>
    <w:lvl w:ilvl="0" w:tplc="AD1A7320">
      <w:start w:val="2"/>
      <w:numFmt w:val="bullet"/>
      <w:lvlText w:val="-"/>
      <w:lvlJc w:val="left"/>
      <w:pPr>
        <w:ind w:left="720" w:hanging="360"/>
      </w:pPr>
      <w:rPr>
        <w:rFonts w:ascii="Cambria" w:hAnsi="Cambria" w:cstheme="minorBidi" w:hint="default"/>
        <w:spacing w:val="12"/>
      </w:rPr>
    </w:lvl>
    <w:lvl w:ilvl="1" w:tplc="040C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2E2290"/>
    <w:multiLevelType w:val="hybridMultilevel"/>
    <w:tmpl w:val="72BE7C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A0C2012"/>
    <w:multiLevelType w:val="hybridMultilevel"/>
    <w:tmpl w:val="6EFAC7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17D0A0C"/>
    <w:multiLevelType w:val="hybridMultilevel"/>
    <w:tmpl w:val="F9C48ADC"/>
    <w:lvl w:ilvl="0" w:tplc="5F0E0C58">
      <w:start w:val="1"/>
      <w:numFmt w:val="decimal"/>
      <w:lvlText w:val="%1."/>
      <w:lvlJc w:val="left"/>
      <w:pPr>
        <w:ind w:left="1280" w:hanging="360"/>
      </w:pPr>
      <w:rPr>
        <w:rFonts w:hint="default"/>
      </w:rPr>
    </w:lvl>
    <w:lvl w:ilvl="1" w:tplc="040C0019" w:tentative="1">
      <w:start w:val="1"/>
      <w:numFmt w:val="lowerLetter"/>
      <w:lvlText w:val="%2."/>
      <w:lvlJc w:val="left"/>
      <w:pPr>
        <w:ind w:left="2000" w:hanging="360"/>
      </w:pPr>
    </w:lvl>
    <w:lvl w:ilvl="2" w:tplc="040C001B" w:tentative="1">
      <w:start w:val="1"/>
      <w:numFmt w:val="lowerRoman"/>
      <w:lvlText w:val="%3."/>
      <w:lvlJc w:val="right"/>
      <w:pPr>
        <w:ind w:left="2720" w:hanging="180"/>
      </w:pPr>
    </w:lvl>
    <w:lvl w:ilvl="3" w:tplc="040C000F" w:tentative="1">
      <w:start w:val="1"/>
      <w:numFmt w:val="decimal"/>
      <w:lvlText w:val="%4."/>
      <w:lvlJc w:val="left"/>
      <w:pPr>
        <w:ind w:left="3440" w:hanging="360"/>
      </w:pPr>
    </w:lvl>
    <w:lvl w:ilvl="4" w:tplc="040C0019" w:tentative="1">
      <w:start w:val="1"/>
      <w:numFmt w:val="lowerLetter"/>
      <w:lvlText w:val="%5."/>
      <w:lvlJc w:val="left"/>
      <w:pPr>
        <w:ind w:left="4160" w:hanging="360"/>
      </w:pPr>
    </w:lvl>
    <w:lvl w:ilvl="5" w:tplc="040C001B" w:tentative="1">
      <w:start w:val="1"/>
      <w:numFmt w:val="lowerRoman"/>
      <w:lvlText w:val="%6."/>
      <w:lvlJc w:val="right"/>
      <w:pPr>
        <w:ind w:left="4880" w:hanging="180"/>
      </w:pPr>
    </w:lvl>
    <w:lvl w:ilvl="6" w:tplc="040C000F" w:tentative="1">
      <w:start w:val="1"/>
      <w:numFmt w:val="decimal"/>
      <w:lvlText w:val="%7."/>
      <w:lvlJc w:val="left"/>
      <w:pPr>
        <w:ind w:left="5600" w:hanging="360"/>
      </w:pPr>
    </w:lvl>
    <w:lvl w:ilvl="7" w:tplc="040C0019" w:tentative="1">
      <w:start w:val="1"/>
      <w:numFmt w:val="lowerLetter"/>
      <w:lvlText w:val="%8."/>
      <w:lvlJc w:val="left"/>
      <w:pPr>
        <w:ind w:left="6320" w:hanging="360"/>
      </w:pPr>
    </w:lvl>
    <w:lvl w:ilvl="8" w:tplc="040C001B" w:tentative="1">
      <w:start w:val="1"/>
      <w:numFmt w:val="lowerRoman"/>
      <w:lvlText w:val="%9."/>
      <w:lvlJc w:val="right"/>
      <w:pPr>
        <w:ind w:left="7040" w:hanging="180"/>
      </w:pPr>
    </w:lvl>
  </w:abstractNum>
  <w:abstractNum w:abstractNumId="21" w15:restartNumberingAfterBreak="0">
    <w:nsid w:val="4B06593A"/>
    <w:multiLevelType w:val="hybridMultilevel"/>
    <w:tmpl w:val="4386EA7C"/>
    <w:lvl w:ilvl="0" w:tplc="889AF0E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C23903"/>
    <w:multiLevelType w:val="hybridMultilevel"/>
    <w:tmpl w:val="89AE6B86"/>
    <w:lvl w:ilvl="0" w:tplc="AD1A7320">
      <w:start w:val="2"/>
      <w:numFmt w:val="bullet"/>
      <w:lvlText w:val="-"/>
      <w:lvlJc w:val="left"/>
      <w:pPr>
        <w:ind w:left="720" w:hanging="360"/>
      </w:pPr>
      <w:rPr>
        <w:rFonts w:ascii="Cambria" w:hAnsi="Cambria" w:cstheme="minorBidi" w:hint="default"/>
        <w:spacing w:val="1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C52CCE"/>
    <w:multiLevelType w:val="hybridMultilevel"/>
    <w:tmpl w:val="F3443DFE"/>
    <w:lvl w:ilvl="0" w:tplc="C0B2FAB0">
      <w:start w:val="3"/>
      <w:numFmt w:val="decimal"/>
      <w:lvlText w:val="%1"/>
      <w:lvlJc w:val="left"/>
      <w:pPr>
        <w:ind w:left="720" w:hanging="360"/>
      </w:pPr>
      <w:rPr>
        <w:rFonts w:hint="default"/>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3867FDC"/>
    <w:multiLevelType w:val="hybridMultilevel"/>
    <w:tmpl w:val="B040F42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18304C"/>
    <w:multiLevelType w:val="multilevel"/>
    <w:tmpl w:val="8942332E"/>
    <w:lvl w:ilvl="0">
      <w:start w:val="2"/>
      <w:numFmt w:val="bullet"/>
      <w:lvlText w:val="-"/>
      <w:lvlJc w:val="left"/>
      <w:pPr>
        <w:ind w:left="720" w:hanging="360"/>
      </w:pPr>
      <w:rPr>
        <w:rFonts w:ascii="Cambria" w:hAnsi="Cambria" w:cstheme="minorBidi" w:hint="default"/>
        <w:spacing w:val="1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601C15"/>
    <w:multiLevelType w:val="multilevel"/>
    <w:tmpl w:val="E620DC1C"/>
    <w:lvl w:ilvl="0">
      <w:numFmt w:val="bullet"/>
      <w:lvlText w:val="-"/>
      <w:lvlJc w:val="left"/>
      <w:pPr>
        <w:ind w:left="720" w:hanging="360"/>
      </w:pPr>
      <w:rPr>
        <w:rFonts w:ascii="Times" w:eastAsiaTheme="minorHAnsi" w:hAnsi="Times" w:cs="Times New Roman"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2C2149"/>
    <w:multiLevelType w:val="hybridMultilevel"/>
    <w:tmpl w:val="C8CE1CC6"/>
    <w:lvl w:ilvl="0" w:tplc="88966198">
      <w:numFmt w:val="bullet"/>
      <w:lvlText w:val="-"/>
      <w:lvlJc w:val="left"/>
      <w:pPr>
        <w:ind w:left="720" w:hanging="360"/>
      </w:pPr>
      <w:rPr>
        <w:rFonts w:ascii="Times" w:eastAsiaTheme="minorHAnsi" w:hAnsi="Times" w:cs="Times New Roman" w:hint="default"/>
        <w:b w:val="0"/>
        <w:bCs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051489"/>
    <w:multiLevelType w:val="hybridMultilevel"/>
    <w:tmpl w:val="6F00CD2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2620EBD"/>
    <w:multiLevelType w:val="multilevel"/>
    <w:tmpl w:val="4C08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BF3049"/>
    <w:multiLevelType w:val="hybridMultilevel"/>
    <w:tmpl w:val="5726AEB6"/>
    <w:lvl w:ilvl="0" w:tplc="AD1A7320">
      <w:start w:val="2"/>
      <w:numFmt w:val="bullet"/>
      <w:lvlText w:val="-"/>
      <w:lvlJc w:val="left"/>
      <w:pPr>
        <w:ind w:left="720" w:hanging="360"/>
      </w:pPr>
      <w:rPr>
        <w:rFonts w:ascii="Cambria" w:hAnsi="Cambria" w:cstheme="minorBidi" w:hint="default"/>
        <w:spacing w:val="1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4105A36"/>
    <w:multiLevelType w:val="hybridMultilevel"/>
    <w:tmpl w:val="DC9611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B204F07"/>
    <w:multiLevelType w:val="multilevel"/>
    <w:tmpl w:val="F936219E"/>
    <w:lvl w:ilvl="0">
      <w:numFmt w:val="bullet"/>
      <w:lvlText w:val="-"/>
      <w:lvlJc w:val="left"/>
      <w:pPr>
        <w:ind w:left="720" w:hanging="360"/>
      </w:pPr>
      <w:rPr>
        <w:rFonts w:ascii="Times" w:eastAsiaTheme="minorHAnsi" w:hAnsi="Times" w:cs="Times New Roman"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000382"/>
    <w:multiLevelType w:val="hybridMultilevel"/>
    <w:tmpl w:val="57CE02E2"/>
    <w:lvl w:ilvl="0" w:tplc="040C000F">
      <w:start w:val="1"/>
      <w:numFmt w:val="decimal"/>
      <w:lvlText w:val="%1."/>
      <w:lvlJc w:val="left"/>
      <w:pPr>
        <w:ind w:left="72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5178795">
    <w:abstractNumId w:val="4"/>
  </w:num>
  <w:num w:numId="2" w16cid:durableId="929050433">
    <w:abstractNumId w:val="8"/>
  </w:num>
  <w:num w:numId="3" w16cid:durableId="19554349">
    <w:abstractNumId w:val="30"/>
  </w:num>
  <w:num w:numId="4" w16cid:durableId="1124235299">
    <w:abstractNumId w:val="33"/>
  </w:num>
  <w:num w:numId="5" w16cid:durableId="923301935">
    <w:abstractNumId w:val="18"/>
  </w:num>
  <w:num w:numId="6" w16cid:durableId="1694845044">
    <w:abstractNumId w:val="20"/>
  </w:num>
  <w:num w:numId="7" w16cid:durableId="1124150994">
    <w:abstractNumId w:val="15"/>
  </w:num>
  <w:num w:numId="8" w16cid:durableId="1009795883">
    <w:abstractNumId w:val="5"/>
  </w:num>
  <w:num w:numId="9" w16cid:durableId="346517909">
    <w:abstractNumId w:val="17"/>
  </w:num>
  <w:num w:numId="10" w16cid:durableId="626933858">
    <w:abstractNumId w:val="2"/>
  </w:num>
  <w:num w:numId="11" w16cid:durableId="1054234910">
    <w:abstractNumId w:val="9"/>
  </w:num>
  <w:num w:numId="12" w16cid:durableId="642003475">
    <w:abstractNumId w:val="16"/>
  </w:num>
  <w:num w:numId="13" w16cid:durableId="871916087">
    <w:abstractNumId w:val="10"/>
  </w:num>
  <w:num w:numId="14" w16cid:durableId="1182625016">
    <w:abstractNumId w:val="1"/>
  </w:num>
  <w:num w:numId="15" w16cid:durableId="1269853817">
    <w:abstractNumId w:val="21"/>
  </w:num>
  <w:num w:numId="16" w16cid:durableId="1890535260">
    <w:abstractNumId w:val="24"/>
  </w:num>
  <w:num w:numId="17" w16cid:durableId="1678461080">
    <w:abstractNumId w:val="25"/>
  </w:num>
  <w:num w:numId="18" w16cid:durableId="1920868604">
    <w:abstractNumId w:val="31"/>
  </w:num>
  <w:num w:numId="19" w16cid:durableId="413354190">
    <w:abstractNumId w:val="28"/>
  </w:num>
  <w:num w:numId="20" w16cid:durableId="1047219592">
    <w:abstractNumId w:val="6"/>
  </w:num>
  <w:num w:numId="21" w16cid:durableId="1712268943">
    <w:abstractNumId w:val="3"/>
  </w:num>
  <w:num w:numId="22" w16cid:durableId="1654331574">
    <w:abstractNumId w:val="19"/>
  </w:num>
  <w:num w:numId="23" w16cid:durableId="950094494">
    <w:abstractNumId w:val="22"/>
  </w:num>
  <w:num w:numId="24" w16cid:durableId="2041078559">
    <w:abstractNumId w:val="11"/>
  </w:num>
  <w:num w:numId="25" w16cid:durableId="540896071">
    <w:abstractNumId w:val="23"/>
  </w:num>
  <w:num w:numId="26" w16cid:durableId="349382428">
    <w:abstractNumId w:val="13"/>
  </w:num>
  <w:num w:numId="27" w16cid:durableId="738943041">
    <w:abstractNumId w:val="27"/>
  </w:num>
  <w:num w:numId="28" w16cid:durableId="1450049609">
    <w:abstractNumId w:val="7"/>
  </w:num>
  <w:num w:numId="29" w16cid:durableId="267932530">
    <w:abstractNumId w:val="12"/>
  </w:num>
  <w:num w:numId="30" w16cid:durableId="965937417">
    <w:abstractNumId w:val="14"/>
  </w:num>
  <w:num w:numId="31" w16cid:durableId="2065063051">
    <w:abstractNumId w:val="32"/>
  </w:num>
  <w:num w:numId="32" w16cid:durableId="258223722">
    <w:abstractNumId w:val="29"/>
  </w:num>
  <w:num w:numId="33" w16cid:durableId="195822804">
    <w:abstractNumId w:val="26"/>
  </w:num>
  <w:num w:numId="34" w16cid:durableId="173653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F9"/>
    <w:rsid w:val="00001D39"/>
    <w:rsid w:val="000043BF"/>
    <w:rsid w:val="00004793"/>
    <w:rsid w:val="000064AD"/>
    <w:rsid w:val="0001378B"/>
    <w:rsid w:val="00016324"/>
    <w:rsid w:val="00016E3B"/>
    <w:rsid w:val="0001780E"/>
    <w:rsid w:val="00021B85"/>
    <w:rsid w:val="00022059"/>
    <w:rsid w:val="00023F26"/>
    <w:rsid w:val="000266DF"/>
    <w:rsid w:val="00034610"/>
    <w:rsid w:val="000372AB"/>
    <w:rsid w:val="000407F9"/>
    <w:rsid w:val="0004247A"/>
    <w:rsid w:val="00042B53"/>
    <w:rsid w:val="0004306E"/>
    <w:rsid w:val="00043129"/>
    <w:rsid w:val="00044B01"/>
    <w:rsid w:val="0004625A"/>
    <w:rsid w:val="00047210"/>
    <w:rsid w:val="00047D45"/>
    <w:rsid w:val="000505F1"/>
    <w:rsid w:val="000506B7"/>
    <w:rsid w:val="00050B93"/>
    <w:rsid w:val="0005460B"/>
    <w:rsid w:val="00055843"/>
    <w:rsid w:val="00057B3D"/>
    <w:rsid w:val="00060D06"/>
    <w:rsid w:val="00065901"/>
    <w:rsid w:val="00065DA8"/>
    <w:rsid w:val="00070D68"/>
    <w:rsid w:val="000722F9"/>
    <w:rsid w:val="00085691"/>
    <w:rsid w:val="0008781E"/>
    <w:rsid w:val="000902FE"/>
    <w:rsid w:val="00094628"/>
    <w:rsid w:val="000A130B"/>
    <w:rsid w:val="000A43ED"/>
    <w:rsid w:val="000A757D"/>
    <w:rsid w:val="000B0CA8"/>
    <w:rsid w:val="000B191D"/>
    <w:rsid w:val="000C059E"/>
    <w:rsid w:val="000C1B20"/>
    <w:rsid w:val="000C261D"/>
    <w:rsid w:val="000C3607"/>
    <w:rsid w:val="000C50BB"/>
    <w:rsid w:val="000C5896"/>
    <w:rsid w:val="000C6A4D"/>
    <w:rsid w:val="000C6CDD"/>
    <w:rsid w:val="000D292A"/>
    <w:rsid w:val="000D2DC6"/>
    <w:rsid w:val="000D6C6D"/>
    <w:rsid w:val="000E0514"/>
    <w:rsid w:val="000E2F6C"/>
    <w:rsid w:val="000E5C92"/>
    <w:rsid w:val="000F0227"/>
    <w:rsid w:val="000F02E8"/>
    <w:rsid w:val="000F0CE5"/>
    <w:rsid w:val="000F3151"/>
    <w:rsid w:val="000F3DBC"/>
    <w:rsid w:val="0010029D"/>
    <w:rsid w:val="001010BB"/>
    <w:rsid w:val="00101E20"/>
    <w:rsid w:val="001031D4"/>
    <w:rsid w:val="00104BF7"/>
    <w:rsid w:val="00107122"/>
    <w:rsid w:val="0011005F"/>
    <w:rsid w:val="00111752"/>
    <w:rsid w:val="00112A85"/>
    <w:rsid w:val="00113661"/>
    <w:rsid w:val="001153FD"/>
    <w:rsid w:val="001209ED"/>
    <w:rsid w:val="00122179"/>
    <w:rsid w:val="00123C81"/>
    <w:rsid w:val="00131C44"/>
    <w:rsid w:val="001326B7"/>
    <w:rsid w:val="00133506"/>
    <w:rsid w:val="0013502D"/>
    <w:rsid w:val="001365CA"/>
    <w:rsid w:val="00137B14"/>
    <w:rsid w:val="001440C3"/>
    <w:rsid w:val="00146584"/>
    <w:rsid w:val="00150559"/>
    <w:rsid w:val="00150E94"/>
    <w:rsid w:val="00151A82"/>
    <w:rsid w:val="001524FA"/>
    <w:rsid w:val="00153DDE"/>
    <w:rsid w:val="00157CC0"/>
    <w:rsid w:val="00161DF6"/>
    <w:rsid w:val="001642B6"/>
    <w:rsid w:val="0017068C"/>
    <w:rsid w:val="001741B2"/>
    <w:rsid w:val="00176A15"/>
    <w:rsid w:val="00177735"/>
    <w:rsid w:val="00180487"/>
    <w:rsid w:val="001828BA"/>
    <w:rsid w:val="001849AB"/>
    <w:rsid w:val="00184D12"/>
    <w:rsid w:val="00186D31"/>
    <w:rsid w:val="00186FEA"/>
    <w:rsid w:val="001876F4"/>
    <w:rsid w:val="001935F1"/>
    <w:rsid w:val="00194359"/>
    <w:rsid w:val="00196C29"/>
    <w:rsid w:val="001A475D"/>
    <w:rsid w:val="001A4C78"/>
    <w:rsid w:val="001B18A9"/>
    <w:rsid w:val="001B254E"/>
    <w:rsid w:val="001B3F70"/>
    <w:rsid w:val="001B6FEA"/>
    <w:rsid w:val="001B7C0A"/>
    <w:rsid w:val="001C51AE"/>
    <w:rsid w:val="001C7959"/>
    <w:rsid w:val="001D1BBA"/>
    <w:rsid w:val="001D4F51"/>
    <w:rsid w:val="001D5EF9"/>
    <w:rsid w:val="001E369A"/>
    <w:rsid w:val="001E380B"/>
    <w:rsid w:val="001E5549"/>
    <w:rsid w:val="001E5CF4"/>
    <w:rsid w:val="001F46C5"/>
    <w:rsid w:val="001F74F4"/>
    <w:rsid w:val="00200E6F"/>
    <w:rsid w:val="00210140"/>
    <w:rsid w:val="00212CA0"/>
    <w:rsid w:val="0021623A"/>
    <w:rsid w:val="00220217"/>
    <w:rsid w:val="00221C42"/>
    <w:rsid w:val="00222AEF"/>
    <w:rsid w:val="00222C5E"/>
    <w:rsid w:val="002339BF"/>
    <w:rsid w:val="00235260"/>
    <w:rsid w:val="002424E3"/>
    <w:rsid w:val="0024533D"/>
    <w:rsid w:val="00251233"/>
    <w:rsid w:val="00251665"/>
    <w:rsid w:val="002523B1"/>
    <w:rsid w:val="00253E8C"/>
    <w:rsid w:val="0025494B"/>
    <w:rsid w:val="00256CB6"/>
    <w:rsid w:val="00257893"/>
    <w:rsid w:val="00262D16"/>
    <w:rsid w:val="00263A09"/>
    <w:rsid w:val="00265AE1"/>
    <w:rsid w:val="00270F2E"/>
    <w:rsid w:val="00271C68"/>
    <w:rsid w:val="00273F8D"/>
    <w:rsid w:val="002763FC"/>
    <w:rsid w:val="002804AE"/>
    <w:rsid w:val="00281EA9"/>
    <w:rsid w:val="00282D27"/>
    <w:rsid w:val="002857A4"/>
    <w:rsid w:val="00286156"/>
    <w:rsid w:val="002868EA"/>
    <w:rsid w:val="00287037"/>
    <w:rsid w:val="0029134B"/>
    <w:rsid w:val="00296E71"/>
    <w:rsid w:val="00296E84"/>
    <w:rsid w:val="002A16DC"/>
    <w:rsid w:val="002A6C06"/>
    <w:rsid w:val="002A7798"/>
    <w:rsid w:val="002A7841"/>
    <w:rsid w:val="002B0B43"/>
    <w:rsid w:val="002B11EF"/>
    <w:rsid w:val="002B121F"/>
    <w:rsid w:val="002B2408"/>
    <w:rsid w:val="002B7FEC"/>
    <w:rsid w:val="002C0030"/>
    <w:rsid w:val="002C2747"/>
    <w:rsid w:val="002C35E2"/>
    <w:rsid w:val="002C4034"/>
    <w:rsid w:val="002C7F14"/>
    <w:rsid w:val="002E02F5"/>
    <w:rsid w:val="002E25E3"/>
    <w:rsid w:val="002E4B6F"/>
    <w:rsid w:val="002E5AD6"/>
    <w:rsid w:val="002F1D83"/>
    <w:rsid w:val="002F2377"/>
    <w:rsid w:val="002F448B"/>
    <w:rsid w:val="002F615A"/>
    <w:rsid w:val="002F712B"/>
    <w:rsid w:val="00301C9C"/>
    <w:rsid w:val="0030350B"/>
    <w:rsid w:val="003041A9"/>
    <w:rsid w:val="00307006"/>
    <w:rsid w:val="003221E5"/>
    <w:rsid w:val="00323F74"/>
    <w:rsid w:val="003242EC"/>
    <w:rsid w:val="00324559"/>
    <w:rsid w:val="00324B65"/>
    <w:rsid w:val="00330085"/>
    <w:rsid w:val="00330FF7"/>
    <w:rsid w:val="00331BDA"/>
    <w:rsid w:val="003320DE"/>
    <w:rsid w:val="00332B2B"/>
    <w:rsid w:val="0033465B"/>
    <w:rsid w:val="00334F0C"/>
    <w:rsid w:val="00335918"/>
    <w:rsid w:val="0033607E"/>
    <w:rsid w:val="00336B2A"/>
    <w:rsid w:val="00336BD4"/>
    <w:rsid w:val="00342060"/>
    <w:rsid w:val="00342938"/>
    <w:rsid w:val="00343855"/>
    <w:rsid w:val="00346700"/>
    <w:rsid w:val="00346D23"/>
    <w:rsid w:val="0035216B"/>
    <w:rsid w:val="00355A96"/>
    <w:rsid w:val="00355D1E"/>
    <w:rsid w:val="00361F5F"/>
    <w:rsid w:val="00365902"/>
    <w:rsid w:val="00365DFA"/>
    <w:rsid w:val="00370C8C"/>
    <w:rsid w:val="00376684"/>
    <w:rsid w:val="00382FF4"/>
    <w:rsid w:val="003844F2"/>
    <w:rsid w:val="00392605"/>
    <w:rsid w:val="00392EC7"/>
    <w:rsid w:val="003968D9"/>
    <w:rsid w:val="003A3F68"/>
    <w:rsid w:val="003B099B"/>
    <w:rsid w:val="003B3A74"/>
    <w:rsid w:val="003B4C4D"/>
    <w:rsid w:val="003B518C"/>
    <w:rsid w:val="003B5C37"/>
    <w:rsid w:val="003B72DB"/>
    <w:rsid w:val="003C47CF"/>
    <w:rsid w:val="003C58D6"/>
    <w:rsid w:val="003C60C6"/>
    <w:rsid w:val="003C67AE"/>
    <w:rsid w:val="003C68CB"/>
    <w:rsid w:val="003C7E68"/>
    <w:rsid w:val="003D697A"/>
    <w:rsid w:val="003E1AAB"/>
    <w:rsid w:val="003E4F16"/>
    <w:rsid w:val="003E5D71"/>
    <w:rsid w:val="003E60B7"/>
    <w:rsid w:val="003E6480"/>
    <w:rsid w:val="003E7444"/>
    <w:rsid w:val="003F04BF"/>
    <w:rsid w:val="003F0CD5"/>
    <w:rsid w:val="003F5AFB"/>
    <w:rsid w:val="003F62D0"/>
    <w:rsid w:val="003F7054"/>
    <w:rsid w:val="003F7243"/>
    <w:rsid w:val="003F7640"/>
    <w:rsid w:val="00403833"/>
    <w:rsid w:val="00405F24"/>
    <w:rsid w:val="00410549"/>
    <w:rsid w:val="00416BCB"/>
    <w:rsid w:val="00420D61"/>
    <w:rsid w:val="0042321B"/>
    <w:rsid w:val="00432675"/>
    <w:rsid w:val="0043582F"/>
    <w:rsid w:val="00435BFE"/>
    <w:rsid w:val="00435D4A"/>
    <w:rsid w:val="0043752A"/>
    <w:rsid w:val="00444F73"/>
    <w:rsid w:val="0044533B"/>
    <w:rsid w:val="00445B75"/>
    <w:rsid w:val="00446ED2"/>
    <w:rsid w:val="00447EBB"/>
    <w:rsid w:val="00463B9B"/>
    <w:rsid w:val="004644D3"/>
    <w:rsid w:val="00464EEE"/>
    <w:rsid w:val="00466632"/>
    <w:rsid w:val="00466690"/>
    <w:rsid w:val="0047061B"/>
    <w:rsid w:val="00470E41"/>
    <w:rsid w:val="004712BD"/>
    <w:rsid w:val="004741C5"/>
    <w:rsid w:val="0047611C"/>
    <w:rsid w:val="004808BD"/>
    <w:rsid w:val="00482321"/>
    <w:rsid w:val="00491AE6"/>
    <w:rsid w:val="0049212C"/>
    <w:rsid w:val="0049293C"/>
    <w:rsid w:val="00494DEC"/>
    <w:rsid w:val="004A03A6"/>
    <w:rsid w:val="004A336A"/>
    <w:rsid w:val="004B02B3"/>
    <w:rsid w:val="004B07E3"/>
    <w:rsid w:val="004B3EC4"/>
    <w:rsid w:val="004C24F9"/>
    <w:rsid w:val="004C430D"/>
    <w:rsid w:val="004D2378"/>
    <w:rsid w:val="004D3449"/>
    <w:rsid w:val="004E0203"/>
    <w:rsid w:val="004E4443"/>
    <w:rsid w:val="004F2272"/>
    <w:rsid w:val="004F6DB1"/>
    <w:rsid w:val="00501098"/>
    <w:rsid w:val="00501889"/>
    <w:rsid w:val="00502C1A"/>
    <w:rsid w:val="00506B9B"/>
    <w:rsid w:val="00506C74"/>
    <w:rsid w:val="0050772E"/>
    <w:rsid w:val="005109E8"/>
    <w:rsid w:val="0051571F"/>
    <w:rsid w:val="00516475"/>
    <w:rsid w:val="005214F4"/>
    <w:rsid w:val="00525EF0"/>
    <w:rsid w:val="00526638"/>
    <w:rsid w:val="005268B8"/>
    <w:rsid w:val="00526BD1"/>
    <w:rsid w:val="005275B0"/>
    <w:rsid w:val="00530BC0"/>
    <w:rsid w:val="00534E6A"/>
    <w:rsid w:val="00536CCC"/>
    <w:rsid w:val="00540237"/>
    <w:rsid w:val="005428D0"/>
    <w:rsid w:val="00542FB8"/>
    <w:rsid w:val="00544190"/>
    <w:rsid w:val="00545C2E"/>
    <w:rsid w:val="00545CBA"/>
    <w:rsid w:val="00556667"/>
    <w:rsid w:val="00560DDB"/>
    <w:rsid w:val="005622FA"/>
    <w:rsid w:val="005629F1"/>
    <w:rsid w:val="0057250D"/>
    <w:rsid w:val="00572F23"/>
    <w:rsid w:val="00576C3B"/>
    <w:rsid w:val="005807BD"/>
    <w:rsid w:val="00580D67"/>
    <w:rsid w:val="00582A03"/>
    <w:rsid w:val="00582A96"/>
    <w:rsid w:val="0058627C"/>
    <w:rsid w:val="00590E99"/>
    <w:rsid w:val="005920B2"/>
    <w:rsid w:val="00595AE9"/>
    <w:rsid w:val="00595C78"/>
    <w:rsid w:val="00597668"/>
    <w:rsid w:val="005A6C13"/>
    <w:rsid w:val="005A7C63"/>
    <w:rsid w:val="005B24B4"/>
    <w:rsid w:val="005B3420"/>
    <w:rsid w:val="005B377B"/>
    <w:rsid w:val="005D43A3"/>
    <w:rsid w:val="005D580A"/>
    <w:rsid w:val="005E1637"/>
    <w:rsid w:val="005E1950"/>
    <w:rsid w:val="005E243A"/>
    <w:rsid w:val="005E31DC"/>
    <w:rsid w:val="005E3DF3"/>
    <w:rsid w:val="005E56D1"/>
    <w:rsid w:val="005E765D"/>
    <w:rsid w:val="005F433B"/>
    <w:rsid w:val="005F49C5"/>
    <w:rsid w:val="005F5BE8"/>
    <w:rsid w:val="00600EE9"/>
    <w:rsid w:val="00600FE4"/>
    <w:rsid w:val="006039C2"/>
    <w:rsid w:val="00604623"/>
    <w:rsid w:val="00611655"/>
    <w:rsid w:val="00614816"/>
    <w:rsid w:val="006248AD"/>
    <w:rsid w:val="00625471"/>
    <w:rsid w:val="006341D9"/>
    <w:rsid w:val="006368AE"/>
    <w:rsid w:val="0064583F"/>
    <w:rsid w:val="00646D19"/>
    <w:rsid w:val="006500BA"/>
    <w:rsid w:val="006503B5"/>
    <w:rsid w:val="00651D71"/>
    <w:rsid w:val="00657F59"/>
    <w:rsid w:val="00662EC6"/>
    <w:rsid w:val="006659F7"/>
    <w:rsid w:val="00667F6B"/>
    <w:rsid w:val="00671CF2"/>
    <w:rsid w:val="00674577"/>
    <w:rsid w:val="00674F17"/>
    <w:rsid w:val="00675DDB"/>
    <w:rsid w:val="00687216"/>
    <w:rsid w:val="006877A6"/>
    <w:rsid w:val="00690B7A"/>
    <w:rsid w:val="00692A94"/>
    <w:rsid w:val="00692E54"/>
    <w:rsid w:val="00693091"/>
    <w:rsid w:val="00694F50"/>
    <w:rsid w:val="006961B2"/>
    <w:rsid w:val="006973CB"/>
    <w:rsid w:val="006A2171"/>
    <w:rsid w:val="006A5C7E"/>
    <w:rsid w:val="006A75D2"/>
    <w:rsid w:val="006B0F41"/>
    <w:rsid w:val="006B18AC"/>
    <w:rsid w:val="006B1E54"/>
    <w:rsid w:val="006B50B1"/>
    <w:rsid w:val="006B5C20"/>
    <w:rsid w:val="006C5DAB"/>
    <w:rsid w:val="006D57C3"/>
    <w:rsid w:val="006D606C"/>
    <w:rsid w:val="006D7755"/>
    <w:rsid w:val="006E0F36"/>
    <w:rsid w:val="006E12B4"/>
    <w:rsid w:val="006E3579"/>
    <w:rsid w:val="006E6299"/>
    <w:rsid w:val="006F0AF6"/>
    <w:rsid w:val="006F102E"/>
    <w:rsid w:val="006F52A9"/>
    <w:rsid w:val="00703B0C"/>
    <w:rsid w:val="007309BD"/>
    <w:rsid w:val="00735859"/>
    <w:rsid w:val="00737850"/>
    <w:rsid w:val="00737D37"/>
    <w:rsid w:val="00743A2A"/>
    <w:rsid w:val="0074699A"/>
    <w:rsid w:val="0074757E"/>
    <w:rsid w:val="00755E80"/>
    <w:rsid w:val="00760054"/>
    <w:rsid w:val="00761D90"/>
    <w:rsid w:val="00761FA7"/>
    <w:rsid w:val="007629A5"/>
    <w:rsid w:val="0076430B"/>
    <w:rsid w:val="00764AA2"/>
    <w:rsid w:val="00782A1A"/>
    <w:rsid w:val="0078312E"/>
    <w:rsid w:val="00784620"/>
    <w:rsid w:val="007943EE"/>
    <w:rsid w:val="0079673C"/>
    <w:rsid w:val="007A02BB"/>
    <w:rsid w:val="007A18DE"/>
    <w:rsid w:val="007A30FC"/>
    <w:rsid w:val="007A3973"/>
    <w:rsid w:val="007A3F34"/>
    <w:rsid w:val="007A5043"/>
    <w:rsid w:val="007A7BCF"/>
    <w:rsid w:val="007B26D2"/>
    <w:rsid w:val="007B5511"/>
    <w:rsid w:val="007B57E6"/>
    <w:rsid w:val="007C1C30"/>
    <w:rsid w:val="007C3066"/>
    <w:rsid w:val="007D0476"/>
    <w:rsid w:val="007D0DB4"/>
    <w:rsid w:val="007D3494"/>
    <w:rsid w:val="007D4931"/>
    <w:rsid w:val="007E18CE"/>
    <w:rsid w:val="007E23A5"/>
    <w:rsid w:val="007E5314"/>
    <w:rsid w:val="007E5E7A"/>
    <w:rsid w:val="007E7EA2"/>
    <w:rsid w:val="007F154E"/>
    <w:rsid w:val="007F336A"/>
    <w:rsid w:val="007F479F"/>
    <w:rsid w:val="007F48C2"/>
    <w:rsid w:val="007F6FD7"/>
    <w:rsid w:val="00804792"/>
    <w:rsid w:val="00805891"/>
    <w:rsid w:val="00811783"/>
    <w:rsid w:val="008146E6"/>
    <w:rsid w:val="00820E20"/>
    <w:rsid w:val="00821FE7"/>
    <w:rsid w:val="008231F9"/>
    <w:rsid w:val="00831255"/>
    <w:rsid w:val="00831BFA"/>
    <w:rsid w:val="008327E7"/>
    <w:rsid w:val="008332DE"/>
    <w:rsid w:val="00834D05"/>
    <w:rsid w:val="00836078"/>
    <w:rsid w:val="00836410"/>
    <w:rsid w:val="00837E07"/>
    <w:rsid w:val="008428F8"/>
    <w:rsid w:val="00846CFD"/>
    <w:rsid w:val="0085769D"/>
    <w:rsid w:val="0086045A"/>
    <w:rsid w:val="00861CF7"/>
    <w:rsid w:val="008624DE"/>
    <w:rsid w:val="00865373"/>
    <w:rsid w:val="00867975"/>
    <w:rsid w:val="00872066"/>
    <w:rsid w:val="00873048"/>
    <w:rsid w:val="0087666F"/>
    <w:rsid w:val="00880345"/>
    <w:rsid w:val="00881324"/>
    <w:rsid w:val="00881B0F"/>
    <w:rsid w:val="00882101"/>
    <w:rsid w:val="00885B00"/>
    <w:rsid w:val="00885DAC"/>
    <w:rsid w:val="00895864"/>
    <w:rsid w:val="008961B5"/>
    <w:rsid w:val="00896B49"/>
    <w:rsid w:val="008A0EF8"/>
    <w:rsid w:val="008A3C2F"/>
    <w:rsid w:val="008A416E"/>
    <w:rsid w:val="008A417B"/>
    <w:rsid w:val="008A4B31"/>
    <w:rsid w:val="008B21C1"/>
    <w:rsid w:val="008B3D64"/>
    <w:rsid w:val="008B42D7"/>
    <w:rsid w:val="008B64AF"/>
    <w:rsid w:val="008B7BA5"/>
    <w:rsid w:val="008C0FC4"/>
    <w:rsid w:val="008C1FEF"/>
    <w:rsid w:val="008C22F5"/>
    <w:rsid w:val="008C2B48"/>
    <w:rsid w:val="008C3645"/>
    <w:rsid w:val="008C3A49"/>
    <w:rsid w:val="008D00BE"/>
    <w:rsid w:val="008D1345"/>
    <w:rsid w:val="008D3AD8"/>
    <w:rsid w:val="008D571F"/>
    <w:rsid w:val="008D5E80"/>
    <w:rsid w:val="008D7F41"/>
    <w:rsid w:val="008E2D22"/>
    <w:rsid w:val="008E61F9"/>
    <w:rsid w:val="008E7B79"/>
    <w:rsid w:val="008F0C1B"/>
    <w:rsid w:val="008F1E61"/>
    <w:rsid w:val="008F2B57"/>
    <w:rsid w:val="00901751"/>
    <w:rsid w:val="009017F6"/>
    <w:rsid w:val="00904360"/>
    <w:rsid w:val="00906597"/>
    <w:rsid w:val="009106CA"/>
    <w:rsid w:val="00914532"/>
    <w:rsid w:val="00914D62"/>
    <w:rsid w:val="00923F2B"/>
    <w:rsid w:val="00932F86"/>
    <w:rsid w:val="009330C2"/>
    <w:rsid w:val="0093565A"/>
    <w:rsid w:val="009376F5"/>
    <w:rsid w:val="009401E0"/>
    <w:rsid w:val="009402D7"/>
    <w:rsid w:val="0094193A"/>
    <w:rsid w:val="0094436F"/>
    <w:rsid w:val="00945014"/>
    <w:rsid w:val="00947E29"/>
    <w:rsid w:val="009502BB"/>
    <w:rsid w:val="00950CC4"/>
    <w:rsid w:val="00951635"/>
    <w:rsid w:val="0095213D"/>
    <w:rsid w:val="009531C0"/>
    <w:rsid w:val="00953D50"/>
    <w:rsid w:val="0095497D"/>
    <w:rsid w:val="00957A16"/>
    <w:rsid w:val="00964B34"/>
    <w:rsid w:val="00970B5D"/>
    <w:rsid w:val="0097105C"/>
    <w:rsid w:val="00972435"/>
    <w:rsid w:val="009730BD"/>
    <w:rsid w:val="0097311E"/>
    <w:rsid w:val="00977AF4"/>
    <w:rsid w:val="00980909"/>
    <w:rsid w:val="009842A1"/>
    <w:rsid w:val="00984E76"/>
    <w:rsid w:val="009850F1"/>
    <w:rsid w:val="00987446"/>
    <w:rsid w:val="00991D56"/>
    <w:rsid w:val="009A1200"/>
    <w:rsid w:val="009A376D"/>
    <w:rsid w:val="009A4549"/>
    <w:rsid w:val="009A6D41"/>
    <w:rsid w:val="009A6F75"/>
    <w:rsid w:val="009A70F2"/>
    <w:rsid w:val="009A7BA3"/>
    <w:rsid w:val="009B2841"/>
    <w:rsid w:val="009B44CE"/>
    <w:rsid w:val="009B4CD7"/>
    <w:rsid w:val="009B600C"/>
    <w:rsid w:val="009B6DB1"/>
    <w:rsid w:val="009C13A6"/>
    <w:rsid w:val="009C1A47"/>
    <w:rsid w:val="009C35C0"/>
    <w:rsid w:val="009D20BA"/>
    <w:rsid w:val="009D5062"/>
    <w:rsid w:val="009E1AE4"/>
    <w:rsid w:val="009E45B2"/>
    <w:rsid w:val="009F149B"/>
    <w:rsid w:val="009F5127"/>
    <w:rsid w:val="009F5C60"/>
    <w:rsid w:val="009F618F"/>
    <w:rsid w:val="00A024CD"/>
    <w:rsid w:val="00A02916"/>
    <w:rsid w:val="00A126E6"/>
    <w:rsid w:val="00A14BA4"/>
    <w:rsid w:val="00A16A05"/>
    <w:rsid w:val="00A26348"/>
    <w:rsid w:val="00A2730B"/>
    <w:rsid w:val="00A33AE7"/>
    <w:rsid w:val="00A36591"/>
    <w:rsid w:val="00A4198C"/>
    <w:rsid w:val="00A473E3"/>
    <w:rsid w:val="00A51701"/>
    <w:rsid w:val="00A53051"/>
    <w:rsid w:val="00A5314B"/>
    <w:rsid w:val="00A53515"/>
    <w:rsid w:val="00A54D3D"/>
    <w:rsid w:val="00A57B21"/>
    <w:rsid w:val="00A6083B"/>
    <w:rsid w:val="00A6131F"/>
    <w:rsid w:val="00A656D5"/>
    <w:rsid w:val="00A66A71"/>
    <w:rsid w:val="00A708AB"/>
    <w:rsid w:val="00A70B0D"/>
    <w:rsid w:val="00A8149D"/>
    <w:rsid w:val="00A83E87"/>
    <w:rsid w:val="00A849FC"/>
    <w:rsid w:val="00A8532A"/>
    <w:rsid w:val="00A8643F"/>
    <w:rsid w:val="00A86C6B"/>
    <w:rsid w:val="00A87F36"/>
    <w:rsid w:val="00AA3E55"/>
    <w:rsid w:val="00AB1313"/>
    <w:rsid w:val="00AB48BF"/>
    <w:rsid w:val="00AB6B12"/>
    <w:rsid w:val="00AB705D"/>
    <w:rsid w:val="00AC2D10"/>
    <w:rsid w:val="00AC2FFA"/>
    <w:rsid w:val="00AC3115"/>
    <w:rsid w:val="00AC591A"/>
    <w:rsid w:val="00AD2969"/>
    <w:rsid w:val="00AD3B6A"/>
    <w:rsid w:val="00AD49F3"/>
    <w:rsid w:val="00AE0F24"/>
    <w:rsid w:val="00AE1EC3"/>
    <w:rsid w:val="00AE481E"/>
    <w:rsid w:val="00AE4AF3"/>
    <w:rsid w:val="00AF0F4F"/>
    <w:rsid w:val="00AF3E94"/>
    <w:rsid w:val="00AF4D6C"/>
    <w:rsid w:val="00AF781D"/>
    <w:rsid w:val="00B00CE8"/>
    <w:rsid w:val="00B01385"/>
    <w:rsid w:val="00B05069"/>
    <w:rsid w:val="00B07601"/>
    <w:rsid w:val="00B07DF9"/>
    <w:rsid w:val="00B16936"/>
    <w:rsid w:val="00B177D8"/>
    <w:rsid w:val="00B17A37"/>
    <w:rsid w:val="00B2154B"/>
    <w:rsid w:val="00B32862"/>
    <w:rsid w:val="00B37F36"/>
    <w:rsid w:val="00B45BD8"/>
    <w:rsid w:val="00B45F8D"/>
    <w:rsid w:val="00B46887"/>
    <w:rsid w:val="00B475F2"/>
    <w:rsid w:val="00B50ABF"/>
    <w:rsid w:val="00B535B8"/>
    <w:rsid w:val="00B57F01"/>
    <w:rsid w:val="00B6313F"/>
    <w:rsid w:val="00B63C60"/>
    <w:rsid w:val="00B64BD7"/>
    <w:rsid w:val="00B70029"/>
    <w:rsid w:val="00B740A4"/>
    <w:rsid w:val="00B74B97"/>
    <w:rsid w:val="00B74DB7"/>
    <w:rsid w:val="00B7696B"/>
    <w:rsid w:val="00B7794C"/>
    <w:rsid w:val="00B814CB"/>
    <w:rsid w:val="00B8185C"/>
    <w:rsid w:val="00B82874"/>
    <w:rsid w:val="00B83E6B"/>
    <w:rsid w:val="00B87C46"/>
    <w:rsid w:val="00B91C74"/>
    <w:rsid w:val="00B9320E"/>
    <w:rsid w:val="00B93582"/>
    <w:rsid w:val="00B94099"/>
    <w:rsid w:val="00BA2F99"/>
    <w:rsid w:val="00BA47C5"/>
    <w:rsid w:val="00BB29F3"/>
    <w:rsid w:val="00BB79DC"/>
    <w:rsid w:val="00BB7E45"/>
    <w:rsid w:val="00BC3E9E"/>
    <w:rsid w:val="00BC441A"/>
    <w:rsid w:val="00BC5F2A"/>
    <w:rsid w:val="00BD033E"/>
    <w:rsid w:val="00BD0AE3"/>
    <w:rsid w:val="00BD4BE7"/>
    <w:rsid w:val="00BD5C0D"/>
    <w:rsid w:val="00BD608D"/>
    <w:rsid w:val="00BE23A5"/>
    <w:rsid w:val="00BE2B54"/>
    <w:rsid w:val="00BE44DC"/>
    <w:rsid w:val="00BF09F9"/>
    <w:rsid w:val="00BF5006"/>
    <w:rsid w:val="00BF5B4F"/>
    <w:rsid w:val="00C01DB0"/>
    <w:rsid w:val="00C0453F"/>
    <w:rsid w:val="00C05A6E"/>
    <w:rsid w:val="00C05C25"/>
    <w:rsid w:val="00C10D87"/>
    <w:rsid w:val="00C1296C"/>
    <w:rsid w:val="00C16CA7"/>
    <w:rsid w:val="00C2086E"/>
    <w:rsid w:val="00C225B4"/>
    <w:rsid w:val="00C22707"/>
    <w:rsid w:val="00C3178D"/>
    <w:rsid w:val="00C31938"/>
    <w:rsid w:val="00C31A2D"/>
    <w:rsid w:val="00C34836"/>
    <w:rsid w:val="00C3640C"/>
    <w:rsid w:val="00C411DB"/>
    <w:rsid w:val="00C441F2"/>
    <w:rsid w:val="00C57066"/>
    <w:rsid w:val="00C57DE5"/>
    <w:rsid w:val="00C6562D"/>
    <w:rsid w:val="00C740CF"/>
    <w:rsid w:val="00C74524"/>
    <w:rsid w:val="00C75474"/>
    <w:rsid w:val="00C76419"/>
    <w:rsid w:val="00C84AB2"/>
    <w:rsid w:val="00C84D3D"/>
    <w:rsid w:val="00C8715C"/>
    <w:rsid w:val="00C911D2"/>
    <w:rsid w:val="00C9202F"/>
    <w:rsid w:val="00C94A93"/>
    <w:rsid w:val="00CA00DF"/>
    <w:rsid w:val="00CA0BE4"/>
    <w:rsid w:val="00CA15EF"/>
    <w:rsid w:val="00CA77DB"/>
    <w:rsid w:val="00CA78D2"/>
    <w:rsid w:val="00CB4E7F"/>
    <w:rsid w:val="00CB54EC"/>
    <w:rsid w:val="00CC30CF"/>
    <w:rsid w:val="00CC314A"/>
    <w:rsid w:val="00CC51DC"/>
    <w:rsid w:val="00CD3585"/>
    <w:rsid w:val="00CD67D8"/>
    <w:rsid w:val="00CD6CEE"/>
    <w:rsid w:val="00CE2455"/>
    <w:rsid w:val="00CF12D5"/>
    <w:rsid w:val="00CF4933"/>
    <w:rsid w:val="00CF6794"/>
    <w:rsid w:val="00CF7F63"/>
    <w:rsid w:val="00D00E1C"/>
    <w:rsid w:val="00D01DCC"/>
    <w:rsid w:val="00D03538"/>
    <w:rsid w:val="00D03AB7"/>
    <w:rsid w:val="00D05898"/>
    <w:rsid w:val="00D05D2C"/>
    <w:rsid w:val="00D1164D"/>
    <w:rsid w:val="00D13090"/>
    <w:rsid w:val="00D17A7F"/>
    <w:rsid w:val="00D20458"/>
    <w:rsid w:val="00D21512"/>
    <w:rsid w:val="00D25177"/>
    <w:rsid w:val="00D32EA8"/>
    <w:rsid w:val="00D33ABE"/>
    <w:rsid w:val="00D370A1"/>
    <w:rsid w:val="00D42341"/>
    <w:rsid w:val="00D44B32"/>
    <w:rsid w:val="00D4571C"/>
    <w:rsid w:val="00D45C33"/>
    <w:rsid w:val="00D46A18"/>
    <w:rsid w:val="00D53D83"/>
    <w:rsid w:val="00D55903"/>
    <w:rsid w:val="00D567E7"/>
    <w:rsid w:val="00D64620"/>
    <w:rsid w:val="00D7777E"/>
    <w:rsid w:val="00D80CC7"/>
    <w:rsid w:val="00D82A65"/>
    <w:rsid w:val="00D82B07"/>
    <w:rsid w:val="00D86204"/>
    <w:rsid w:val="00D87055"/>
    <w:rsid w:val="00D91EDA"/>
    <w:rsid w:val="00D94C94"/>
    <w:rsid w:val="00D94DA1"/>
    <w:rsid w:val="00DA04AC"/>
    <w:rsid w:val="00DA1EC7"/>
    <w:rsid w:val="00DA24B4"/>
    <w:rsid w:val="00DA4E00"/>
    <w:rsid w:val="00DA4F9A"/>
    <w:rsid w:val="00DA60AF"/>
    <w:rsid w:val="00DB2168"/>
    <w:rsid w:val="00DB2CD7"/>
    <w:rsid w:val="00DB32E6"/>
    <w:rsid w:val="00DB583D"/>
    <w:rsid w:val="00DC65EC"/>
    <w:rsid w:val="00DD429C"/>
    <w:rsid w:val="00DD4EE7"/>
    <w:rsid w:val="00DD50A8"/>
    <w:rsid w:val="00DD5197"/>
    <w:rsid w:val="00DD780C"/>
    <w:rsid w:val="00DD7A23"/>
    <w:rsid w:val="00DE3E5F"/>
    <w:rsid w:val="00DE4978"/>
    <w:rsid w:val="00DE6AE0"/>
    <w:rsid w:val="00DF02D6"/>
    <w:rsid w:val="00DF124D"/>
    <w:rsid w:val="00DF19F8"/>
    <w:rsid w:val="00DF23C5"/>
    <w:rsid w:val="00DF4BFD"/>
    <w:rsid w:val="00E00A06"/>
    <w:rsid w:val="00E027F4"/>
    <w:rsid w:val="00E04E4D"/>
    <w:rsid w:val="00E06A0C"/>
    <w:rsid w:val="00E159B5"/>
    <w:rsid w:val="00E221F0"/>
    <w:rsid w:val="00E22BF7"/>
    <w:rsid w:val="00E236E0"/>
    <w:rsid w:val="00E25B53"/>
    <w:rsid w:val="00E2757B"/>
    <w:rsid w:val="00E36DF1"/>
    <w:rsid w:val="00E377D9"/>
    <w:rsid w:val="00E408D4"/>
    <w:rsid w:val="00E412B6"/>
    <w:rsid w:val="00E44934"/>
    <w:rsid w:val="00E458CB"/>
    <w:rsid w:val="00E51040"/>
    <w:rsid w:val="00E52D91"/>
    <w:rsid w:val="00E52F97"/>
    <w:rsid w:val="00E53FEF"/>
    <w:rsid w:val="00E55A85"/>
    <w:rsid w:val="00E56D39"/>
    <w:rsid w:val="00E6341B"/>
    <w:rsid w:val="00E655E6"/>
    <w:rsid w:val="00E66618"/>
    <w:rsid w:val="00E722AE"/>
    <w:rsid w:val="00E82DAF"/>
    <w:rsid w:val="00E8406B"/>
    <w:rsid w:val="00E845A7"/>
    <w:rsid w:val="00E85169"/>
    <w:rsid w:val="00E92767"/>
    <w:rsid w:val="00E93EC5"/>
    <w:rsid w:val="00E964B3"/>
    <w:rsid w:val="00EA352A"/>
    <w:rsid w:val="00EA43EA"/>
    <w:rsid w:val="00EB2BF4"/>
    <w:rsid w:val="00EB371B"/>
    <w:rsid w:val="00EC3687"/>
    <w:rsid w:val="00EC3FD5"/>
    <w:rsid w:val="00EC40BB"/>
    <w:rsid w:val="00EC4287"/>
    <w:rsid w:val="00EC4AD2"/>
    <w:rsid w:val="00EC7CDB"/>
    <w:rsid w:val="00EC7D60"/>
    <w:rsid w:val="00EE03AB"/>
    <w:rsid w:val="00EE1799"/>
    <w:rsid w:val="00EE32F6"/>
    <w:rsid w:val="00EE53A4"/>
    <w:rsid w:val="00EE54A8"/>
    <w:rsid w:val="00EE69D3"/>
    <w:rsid w:val="00EF3477"/>
    <w:rsid w:val="00EF482F"/>
    <w:rsid w:val="00EF6A60"/>
    <w:rsid w:val="00EF7B83"/>
    <w:rsid w:val="00F03858"/>
    <w:rsid w:val="00F04165"/>
    <w:rsid w:val="00F04D19"/>
    <w:rsid w:val="00F0672F"/>
    <w:rsid w:val="00F07416"/>
    <w:rsid w:val="00F10177"/>
    <w:rsid w:val="00F10E2D"/>
    <w:rsid w:val="00F127D6"/>
    <w:rsid w:val="00F14B03"/>
    <w:rsid w:val="00F1562E"/>
    <w:rsid w:val="00F16021"/>
    <w:rsid w:val="00F1709B"/>
    <w:rsid w:val="00F171FF"/>
    <w:rsid w:val="00F201B0"/>
    <w:rsid w:val="00F20728"/>
    <w:rsid w:val="00F20BE1"/>
    <w:rsid w:val="00F25695"/>
    <w:rsid w:val="00F25864"/>
    <w:rsid w:val="00F25D21"/>
    <w:rsid w:val="00F27FAD"/>
    <w:rsid w:val="00F3136B"/>
    <w:rsid w:val="00F33859"/>
    <w:rsid w:val="00F41B57"/>
    <w:rsid w:val="00F4565D"/>
    <w:rsid w:val="00F47FBC"/>
    <w:rsid w:val="00F52796"/>
    <w:rsid w:val="00F527F4"/>
    <w:rsid w:val="00F537E3"/>
    <w:rsid w:val="00F54FAB"/>
    <w:rsid w:val="00F60A36"/>
    <w:rsid w:val="00F617AC"/>
    <w:rsid w:val="00F6230C"/>
    <w:rsid w:val="00F6372E"/>
    <w:rsid w:val="00F639AE"/>
    <w:rsid w:val="00F652AC"/>
    <w:rsid w:val="00F71799"/>
    <w:rsid w:val="00F71C73"/>
    <w:rsid w:val="00F7323C"/>
    <w:rsid w:val="00F734C1"/>
    <w:rsid w:val="00F804B1"/>
    <w:rsid w:val="00F85662"/>
    <w:rsid w:val="00F87F3B"/>
    <w:rsid w:val="00F91826"/>
    <w:rsid w:val="00F92320"/>
    <w:rsid w:val="00F94FD6"/>
    <w:rsid w:val="00F959DA"/>
    <w:rsid w:val="00F96E68"/>
    <w:rsid w:val="00FA17B8"/>
    <w:rsid w:val="00FA2399"/>
    <w:rsid w:val="00FA305E"/>
    <w:rsid w:val="00FB07F1"/>
    <w:rsid w:val="00FB1359"/>
    <w:rsid w:val="00FB3164"/>
    <w:rsid w:val="00FB3815"/>
    <w:rsid w:val="00FC2E34"/>
    <w:rsid w:val="00FC2F50"/>
    <w:rsid w:val="00FC55AC"/>
    <w:rsid w:val="00FD2750"/>
    <w:rsid w:val="00FD4493"/>
    <w:rsid w:val="00FD7339"/>
    <w:rsid w:val="00FE23B3"/>
    <w:rsid w:val="00FE3499"/>
    <w:rsid w:val="00FE364A"/>
    <w:rsid w:val="00FF01DE"/>
    <w:rsid w:val="00FF08BF"/>
    <w:rsid w:val="00FF361B"/>
    <w:rsid w:val="00FF62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B223"/>
  <w15:chartTrackingRefBased/>
  <w15:docId w15:val="{3A0F2478-82B5-684C-B667-446257D1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C0453F"/>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
    <w:name w:val="para"/>
    <w:basedOn w:val="Normal"/>
    <w:rsid w:val="000722F9"/>
    <w:pPr>
      <w:spacing w:before="100" w:beforeAutospacing="1" w:after="100" w:afterAutospacing="1"/>
    </w:pPr>
    <w:rPr>
      <w:rFonts w:ascii="Times New Roman" w:eastAsia="Times New Roman" w:hAnsi="Times New Roman" w:cs="Times New Roman"/>
      <w:lang w:eastAsia="fr-FR"/>
    </w:rPr>
  </w:style>
  <w:style w:type="paragraph" w:styleId="Notedebasdepage">
    <w:name w:val="footnote text"/>
    <w:basedOn w:val="Normal"/>
    <w:link w:val="NotedebasdepageCar"/>
    <w:uiPriority w:val="99"/>
    <w:unhideWhenUsed/>
    <w:rsid w:val="00D370A1"/>
    <w:rPr>
      <w:sz w:val="20"/>
      <w:szCs w:val="20"/>
    </w:rPr>
  </w:style>
  <w:style w:type="character" w:customStyle="1" w:styleId="NotedebasdepageCar">
    <w:name w:val="Note de bas de page Car"/>
    <w:basedOn w:val="Policepardfaut"/>
    <w:link w:val="Notedebasdepage"/>
    <w:uiPriority w:val="99"/>
    <w:qFormat/>
    <w:rsid w:val="00D370A1"/>
    <w:rPr>
      <w:sz w:val="20"/>
      <w:szCs w:val="20"/>
    </w:rPr>
  </w:style>
  <w:style w:type="character" w:styleId="Appelnotedebasdep">
    <w:name w:val="footnote reference"/>
    <w:basedOn w:val="Policepardfaut"/>
    <w:uiPriority w:val="99"/>
    <w:semiHidden/>
    <w:unhideWhenUsed/>
    <w:rsid w:val="00D370A1"/>
    <w:rPr>
      <w:vertAlign w:val="superscript"/>
    </w:rPr>
  </w:style>
  <w:style w:type="paragraph" w:styleId="PrformatHTML">
    <w:name w:val="HTML Preformatted"/>
    <w:basedOn w:val="Normal"/>
    <w:link w:val="PrformatHTMLCar"/>
    <w:uiPriority w:val="99"/>
    <w:unhideWhenUsed/>
    <w:rsid w:val="00193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935F1"/>
    <w:rPr>
      <w:rFonts w:ascii="Courier New" w:eastAsia="Times New Roman" w:hAnsi="Courier New" w:cs="Courier New"/>
      <w:sz w:val="20"/>
      <w:szCs w:val="20"/>
      <w:lang w:eastAsia="fr-FR"/>
    </w:rPr>
  </w:style>
  <w:style w:type="character" w:customStyle="1" w:styleId="y2iqfc">
    <w:name w:val="y2iqfc"/>
    <w:basedOn w:val="Policepardfaut"/>
    <w:rsid w:val="001935F1"/>
  </w:style>
  <w:style w:type="paragraph" w:styleId="NormalWeb">
    <w:name w:val="Normal (Web)"/>
    <w:basedOn w:val="Normal"/>
    <w:uiPriority w:val="99"/>
    <w:unhideWhenUsed/>
    <w:rsid w:val="00861CF7"/>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link w:val="ParagraphedelisteCar"/>
    <w:uiPriority w:val="34"/>
    <w:qFormat/>
    <w:rsid w:val="005A7C63"/>
    <w:pPr>
      <w:ind w:left="720"/>
      <w:contextualSpacing/>
    </w:pPr>
    <w:rPr>
      <w:rFonts w:ascii="Times New Roman" w:eastAsia="Times New Roman" w:hAnsi="Times New Roman" w:cs="Times New Roman"/>
      <w:lang w:eastAsia="fr-FR"/>
    </w:rPr>
  </w:style>
  <w:style w:type="character" w:styleId="Lienhypertexte">
    <w:name w:val="Hyperlink"/>
    <w:basedOn w:val="Policepardfaut"/>
    <w:uiPriority w:val="99"/>
    <w:unhideWhenUsed/>
    <w:rsid w:val="005A7C63"/>
    <w:rPr>
      <w:color w:val="0563C1" w:themeColor="hyperlink"/>
      <w:u w:val="single"/>
    </w:rPr>
  </w:style>
  <w:style w:type="character" w:customStyle="1" w:styleId="ParagraphedelisteCar">
    <w:name w:val="Paragraphe de liste Car"/>
    <w:basedOn w:val="Policepardfaut"/>
    <w:link w:val="Paragraphedeliste"/>
    <w:uiPriority w:val="34"/>
    <w:rsid w:val="005A7C6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BB29F3"/>
    <w:pPr>
      <w:tabs>
        <w:tab w:val="center" w:pos="4513"/>
        <w:tab w:val="right" w:pos="9026"/>
      </w:tabs>
    </w:pPr>
  </w:style>
  <w:style w:type="character" w:customStyle="1" w:styleId="PieddepageCar">
    <w:name w:val="Pied de page Car"/>
    <w:basedOn w:val="Policepardfaut"/>
    <w:link w:val="Pieddepage"/>
    <w:uiPriority w:val="99"/>
    <w:rsid w:val="00BB29F3"/>
  </w:style>
  <w:style w:type="character" w:styleId="Numrodepage">
    <w:name w:val="page number"/>
    <w:basedOn w:val="Policepardfaut"/>
    <w:uiPriority w:val="99"/>
    <w:semiHidden/>
    <w:unhideWhenUsed/>
    <w:rsid w:val="00BB29F3"/>
  </w:style>
  <w:style w:type="character" w:customStyle="1" w:styleId="Titre1Car">
    <w:name w:val="Titre 1 Car"/>
    <w:basedOn w:val="Policepardfaut"/>
    <w:link w:val="Titre1"/>
    <w:uiPriority w:val="9"/>
    <w:rsid w:val="00C0453F"/>
    <w:rPr>
      <w:rFonts w:ascii="Times New Roman" w:eastAsia="Times New Roman" w:hAnsi="Times New Roman" w:cs="Times New Roman"/>
      <w:b/>
      <w:bCs/>
      <w:kern w:val="36"/>
      <w:sz w:val="48"/>
      <w:szCs w:val="48"/>
      <w:lang w:eastAsia="fr-FR"/>
    </w:rPr>
  </w:style>
  <w:style w:type="character" w:customStyle="1" w:styleId="markedcontent">
    <w:name w:val="markedcontent"/>
    <w:basedOn w:val="Policepardfaut"/>
    <w:rsid w:val="00C0453F"/>
  </w:style>
  <w:style w:type="character" w:styleId="Marquedecommentaire">
    <w:name w:val="annotation reference"/>
    <w:basedOn w:val="Policepardfaut"/>
    <w:uiPriority w:val="99"/>
    <w:semiHidden/>
    <w:unhideWhenUsed/>
    <w:rsid w:val="00E845A7"/>
    <w:rPr>
      <w:sz w:val="18"/>
      <w:szCs w:val="18"/>
    </w:rPr>
  </w:style>
  <w:style w:type="paragraph" w:styleId="Retraitcorpsdetexte2">
    <w:name w:val="Body Text Indent 2"/>
    <w:basedOn w:val="Normal"/>
    <w:link w:val="Retraitcorpsdetexte2Car"/>
    <w:semiHidden/>
    <w:rsid w:val="00F127D6"/>
    <w:pPr>
      <w:spacing w:before="100" w:line="360" w:lineRule="atLeast"/>
      <w:ind w:firstLine="709"/>
      <w:jc w:val="both"/>
    </w:pPr>
    <w:rPr>
      <w:rFonts w:ascii="Times New Roman" w:eastAsia="Times New Roman" w:hAnsi="Times New Roman" w:cs="Times New Roman"/>
      <w:szCs w:val="20"/>
      <w:lang w:eastAsia="fr-FR"/>
    </w:rPr>
  </w:style>
  <w:style w:type="character" w:customStyle="1" w:styleId="Retraitcorpsdetexte2Car">
    <w:name w:val="Retrait corps de texte 2 Car"/>
    <w:basedOn w:val="Policepardfaut"/>
    <w:link w:val="Retraitcorpsdetexte2"/>
    <w:semiHidden/>
    <w:rsid w:val="00F127D6"/>
    <w:rPr>
      <w:rFonts w:ascii="Times New Roman" w:eastAsia="Times New Roman" w:hAnsi="Times New Roman" w:cs="Times New Roman"/>
      <w:szCs w:val="20"/>
      <w:lang w:val="fr-FR" w:eastAsia="fr-FR"/>
    </w:rPr>
  </w:style>
  <w:style w:type="character" w:styleId="Accentuation">
    <w:name w:val="Emphasis"/>
    <w:basedOn w:val="Policepardfaut"/>
    <w:uiPriority w:val="20"/>
    <w:qFormat/>
    <w:rsid w:val="00F734C1"/>
    <w:rPr>
      <w:i/>
      <w:iCs/>
    </w:rPr>
  </w:style>
  <w:style w:type="character" w:customStyle="1" w:styleId="highlight">
    <w:name w:val="highlight"/>
    <w:basedOn w:val="Policepardfaut"/>
    <w:rsid w:val="00F734C1"/>
  </w:style>
  <w:style w:type="character" w:styleId="lev">
    <w:name w:val="Strong"/>
    <w:basedOn w:val="Policepardfaut"/>
    <w:uiPriority w:val="22"/>
    <w:qFormat/>
    <w:rsid w:val="00F734C1"/>
    <w:rPr>
      <w:b/>
      <w:bCs/>
    </w:rPr>
  </w:style>
  <w:style w:type="paragraph" w:styleId="Corpsdetexte">
    <w:name w:val="Body Text"/>
    <w:basedOn w:val="Normal"/>
    <w:link w:val="CorpsdetexteCar"/>
    <w:uiPriority w:val="99"/>
    <w:unhideWhenUsed/>
    <w:rsid w:val="00F734C1"/>
    <w:pPr>
      <w:spacing w:after="120"/>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uiPriority w:val="99"/>
    <w:rsid w:val="00F734C1"/>
    <w:rPr>
      <w:rFonts w:ascii="Times New Roman" w:eastAsia="Times New Roman" w:hAnsi="Times New Roman" w:cs="Times New Roman"/>
      <w:lang w:eastAsia="fr-FR"/>
    </w:rPr>
  </w:style>
  <w:style w:type="character" w:customStyle="1" w:styleId="familyname">
    <w:name w:val="familyname"/>
    <w:basedOn w:val="Policepardfaut"/>
    <w:rsid w:val="00F734C1"/>
  </w:style>
  <w:style w:type="character" w:customStyle="1" w:styleId="s1">
    <w:name w:val="s1"/>
    <w:basedOn w:val="Policepardfaut"/>
    <w:rsid w:val="00F734C1"/>
  </w:style>
  <w:style w:type="character" w:styleId="Mentionnonrsolue">
    <w:name w:val="Unresolved Mention"/>
    <w:basedOn w:val="Policepardfaut"/>
    <w:uiPriority w:val="99"/>
    <w:semiHidden/>
    <w:unhideWhenUsed/>
    <w:rsid w:val="00760054"/>
    <w:rPr>
      <w:color w:val="605E5C"/>
      <w:shd w:val="clear" w:color="auto" w:fill="E1DFDD"/>
    </w:rPr>
  </w:style>
  <w:style w:type="paragraph" w:styleId="En-tte">
    <w:name w:val="header"/>
    <w:basedOn w:val="Normal"/>
    <w:link w:val="En-tteCar"/>
    <w:uiPriority w:val="99"/>
    <w:unhideWhenUsed/>
    <w:rsid w:val="003221E5"/>
    <w:pPr>
      <w:tabs>
        <w:tab w:val="center" w:pos="4513"/>
        <w:tab w:val="right" w:pos="9026"/>
      </w:tabs>
    </w:pPr>
  </w:style>
  <w:style w:type="character" w:customStyle="1" w:styleId="En-tteCar">
    <w:name w:val="En-tête Car"/>
    <w:basedOn w:val="Policepardfaut"/>
    <w:link w:val="En-tte"/>
    <w:uiPriority w:val="99"/>
    <w:rsid w:val="003221E5"/>
  </w:style>
  <w:style w:type="character" w:styleId="Lienhypertextesuivivisit">
    <w:name w:val="FollowedHyperlink"/>
    <w:basedOn w:val="Policepardfaut"/>
    <w:uiPriority w:val="99"/>
    <w:semiHidden/>
    <w:unhideWhenUsed/>
    <w:rsid w:val="00C225B4"/>
    <w:rPr>
      <w:color w:val="954F72" w:themeColor="followedHyperlink"/>
      <w:u w:val="single"/>
    </w:rPr>
  </w:style>
  <w:style w:type="character" w:customStyle="1" w:styleId="muibox-root">
    <w:name w:val="muibox-root"/>
    <w:basedOn w:val="Policepardfaut"/>
    <w:rsid w:val="00A51701"/>
  </w:style>
  <w:style w:type="character" w:customStyle="1" w:styleId="extn-css-0">
    <w:name w:val="extn-css-0"/>
    <w:basedOn w:val="Policepardfaut"/>
    <w:rsid w:val="00A51701"/>
  </w:style>
  <w:style w:type="character" w:customStyle="1" w:styleId="extn-css-1tmeul0">
    <w:name w:val="extn-css-1tmeul0"/>
    <w:basedOn w:val="Policepardfaut"/>
    <w:rsid w:val="00A51701"/>
  </w:style>
  <w:style w:type="character" w:customStyle="1" w:styleId="extn-css-10o52y0">
    <w:name w:val="extn-css-10o52y0"/>
    <w:basedOn w:val="Policepardfaut"/>
    <w:rsid w:val="00A51701"/>
  </w:style>
  <w:style w:type="character" w:customStyle="1" w:styleId="extn-css-h5d7i9">
    <w:name w:val="extn-css-h5d7i9"/>
    <w:basedOn w:val="Policepardfaut"/>
    <w:rsid w:val="00A51701"/>
  </w:style>
  <w:style w:type="character" w:customStyle="1" w:styleId="extn-css-lq4jk2">
    <w:name w:val="extn-css-lq4jk2"/>
    <w:basedOn w:val="Policepardfaut"/>
    <w:rsid w:val="00A51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7876">
      <w:bodyDiv w:val="1"/>
      <w:marLeft w:val="0"/>
      <w:marRight w:val="0"/>
      <w:marTop w:val="0"/>
      <w:marBottom w:val="0"/>
      <w:divBdr>
        <w:top w:val="none" w:sz="0" w:space="0" w:color="auto"/>
        <w:left w:val="none" w:sz="0" w:space="0" w:color="auto"/>
        <w:bottom w:val="none" w:sz="0" w:space="0" w:color="auto"/>
        <w:right w:val="none" w:sz="0" w:space="0" w:color="auto"/>
      </w:divBdr>
      <w:divsChild>
        <w:div w:id="512037552">
          <w:marLeft w:val="0"/>
          <w:marRight w:val="0"/>
          <w:marTop w:val="0"/>
          <w:marBottom w:val="0"/>
          <w:divBdr>
            <w:top w:val="none" w:sz="0" w:space="0" w:color="auto"/>
            <w:left w:val="none" w:sz="0" w:space="0" w:color="auto"/>
            <w:bottom w:val="none" w:sz="0" w:space="0" w:color="auto"/>
            <w:right w:val="none" w:sz="0" w:space="0" w:color="auto"/>
          </w:divBdr>
        </w:div>
      </w:divsChild>
    </w:div>
    <w:div w:id="84494860">
      <w:bodyDiv w:val="1"/>
      <w:marLeft w:val="0"/>
      <w:marRight w:val="0"/>
      <w:marTop w:val="0"/>
      <w:marBottom w:val="0"/>
      <w:divBdr>
        <w:top w:val="none" w:sz="0" w:space="0" w:color="auto"/>
        <w:left w:val="none" w:sz="0" w:space="0" w:color="auto"/>
        <w:bottom w:val="none" w:sz="0" w:space="0" w:color="auto"/>
        <w:right w:val="none" w:sz="0" w:space="0" w:color="auto"/>
      </w:divBdr>
    </w:div>
    <w:div w:id="111438118">
      <w:bodyDiv w:val="1"/>
      <w:marLeft w:val="0"/>
      <w:marRight w:val="0"/>
      <w:marTop w:val="0"/>
      <w:marBottom w:val="0"/>
      <w:divBdr>
        <w:top w:val="none" w:sz="0" w:space="0" w:color="auto"/>
        <w:left w:val="none" w:sz="0" w:space="0" w:color="auto"/>
        <w:bottom w:val="none" w:sz="0" w:space="0" w:color="auto"/>
        <w:right w:val="none" w:sz="0" w:space="0" w:color="auto"/>
      </w:divBdr>
      <w:divsChild>
        <w:div w:id="33968574">
          <w:marLeft w:val="0"/>
          <w:marRight w:val="0"/>
          <w:marTop w:val="0"/>
          <w:marBottom w:val="0"/>
          <w:divBdr>
            <w:top w:val="none" w:sz="0" w:space="0" w:color="auto"/>
            <w:left w:val="none" w:sz="0" w:space="0" w:color="auto"/>
            <w:bottom w:val="none" w:sz="0" w:space="0" w:color="auto"/>
            <w:right w:val="none" w:sz="0" w:space="0" w:color="auto"/>
          </w:divBdr>
        </w:div>
      </w:divsChild>
    </w:div>
    <w:div w:id="118652049">
      <w:bodyDiv w:val="1"/>
      <w:marLeft w:val="0"/>
      <w:marRight w:val="0"/>
      <w:marTop w:val="0"/>
      <w:marBottom w:val="0"/>
      <w:divBdr>
        <w:top w:val="none" w:sz="0" w:space="0" w:color="auto"/>
        <w:left w:val="none" w:sz="0" w:space="0" w:color="auto"/>
        <w:bottom w:val="none" w:sz="0" w:space="0" w:color="auto"/>
        <w:right w:val="none" w:sz="0" w:space="0" w:color="auto"/>
      </w:divBdr>
    </w:div>
    <w:div w:id="159925788">
      <w:bodyDiv w:val="1"/>
      <w:marLeft w:val="0"/>
      <w:marRight w:val="0"/>
      <w:marTop w:val="0"/>
      <w:marBottom w:val="0"/>
      <w:divBdr>
        <w:top w:val="none" w:sz="0" w:space="0" w:color="auto"/>
        <w:left w:val="none" w:sz="0" w:space="0" w:color="auto"/>
        <w:bottom w:val="none" w:sz="0" w:space="0" w:color="auto"/>
        <w:right w:val="none" w:sz="0" w:space="0" w:color="auto"/>
      </w:divBdr>
      <w:divsChild>
        <w:div w:id="1572693743">
          <w:marLeft w:val="0"/>
          <w:marRight w:val="0"/>
          <w:marTop w:val="0"/>
          <w:marBottom w:val="0"/>
          <w:divBdr>
            <w:top w:val="none" w:sz="0" w:space="0" w:color="auto"/>
            <w:left w:val="none" w:sz="0" w:space="0" w:color="auto"/>
            <w:bottom w:val="none" w:sz="0" w:space="0" w:color="auto"/>
            <w:right w:val="none" w:sz="0" w:space="0" w:color="auto"/>
          </w:divBdr>
        </w:div>
      </w:divsChild>
    </w:div>
    <w:div w:id="220990654">
      <w:bodyDiv w:val="1"/>
      <w:marLeft w:val="0"/>
      <w:marRight w:val="0"/>
      <w:marTop w:val="0"/>
      <w:marBottom w:val="0"/>
      <w:divBdr>
        <w:top w:val="none" w:sz="0" w:space="0" w:color="auto"/>
        <w:left w:val="none" w:sz="0" w:space="0" w:color="auto"/>
        <w:bottom w:val="none" w:sz="0" w:space="0" w:color="auto"/>
        <w:right w:val="none" w:sz="0" w:space="0" w:color="auto"/>
      </w:divBdr>
      <w:divsChild>
        <w:div w:id="659384304">
          <w:marLeft w:val="0"/>
          <w:marRight w:val="0"/>
          <w:marTop w:val="0"/>
          <w:marBottom w:val="0"/>
          <w:divBdr>
            <w:top w:val="none" w:sz="0" w:space="0" w:color="auto"/>
            <w:left w:val="none" w:sz="0" w:space="0" w:color="auto"/>
            <w:bottom w:val="none" w:sz="0" w:space="0" w:color="auto"/>
            <w:right w:val="none" w:sz="0" w:space="0" w:color="auto"/>
          </w:divBdr>
        </w:div>
      </w:divsChild>
    </w:div>
    <w:div w:id="230889138">
      <w:bodyDiv w:val="1"/>
      <w:marLeft w:val="0"/>
      <w:marRight w:val="0"/>
      <w:marTop w:val="0"/>
      <w:marBottom w:val="0"/>
      <w:divBdr>
        <w:top w:val="none" w:sz="0" w:space="0" w:color="auto"/>
        <w:left w:val="none" w:sz="0" w:space="0" w:color="auto"/>
        <w:bottom w:val="none" w:sz="0" w:space="0" w:color="auto"/>
        <w:right w:val="none" w:sz="0" w:space="0" w:color="auto"/>
      </w:divBdr>
    </w:div>
    <w:div w:id="266353920">
      <w:bodyDiv w:val="1"/>
      <w:marLeft w:val="0"/>
      <w:marRight w:val="0"/>
      <w:marTop w:val="0"/>
      <w:marBottom w:val="0"/>
      <w:divBdr>
        <w:top w:val="none" w:sz="0" w:space="0" w:color="auto"/>
        <w:left w:val="none" w:sz="0" w:space="0" w:color="auto"/>
        <w:bottom w:val="none" w:sz="0" w:space="0" w:color="auto"/>
        <w:right w:val="none" w:sz="0" w:space="0" w:color="auto"/>
      </w:divBdr>
      <w:divsChild>
        <w:div w:id="1031497976">
          <w:marLeft w:val="0"/>
          <w:marRight w:val="0"/>
          <w:marTop w:val="0"/>
          <w:marBottom w:val="0"/>
          <w:divBdr>
            <w:top w:val="none" w:sz="0" w:space="0" w:color="auto"/>
            <w:left w:val="none" w:sz="0" w:space="0" w:color="auto"/>
            <w:bottom w:val="none" w:sz="0" w:space="0" w:color="auto"/>
            <w:right w:val="none" w:sz="0" w:space="0" w:color="auto"/>
          </w:divBdr>
        </w:div>
      </w:divsChild>
    </w:div>
    <w:div w:id="336418928">
      <w:bodyDiv w:val="1"/>
      <w:marLeft w:val="0"/>
      <w:marRight w:val="0"/>
      <w:marTop w:val="0"/>
      <w:marBottom w:val="0"/>
      <w:divBdr>
        <w:top w:val="none" w:sz="0" w:space="0" w:color="auto"/>
        <w:left w:val="none" w:sz="0" w:space="0" w:color="auto"/>
        <w:bottom w:val="none" w:sz="0" w:space="0" w:color="auto"/>
        <w:right w:val="none" w:sz="0" w:space="0" w:color="auto"/>
      </w:divBdr>
      <w:divsChild>
        <w:div w:id="757217705">
          <w:marLeft w:val="0"/>
          <w:marRight w:val="0"/>
          <w:marTop w:val="0"/>
          <w:marBottom w:val="0"/>
          <w:divBdr>
            <w:top w:val="none" w:sz="0" w:space="0" w:color="auto"/>
            <w:left w:val="none" w:sz="0" w:space="0" w:color="auto"/>
            <w:bottom w:val="none" w:sz="0" w:space="0" w:color="auto"/>
            <w:right w:val="none" w:sz="0" w:space="0" w:color="auto"/>
          </w:divBdr>
        </w:div>
      </w:divsChild>
    </w:div>
    <w:div w:id="350449730">
      <w:bodyDiv w:val="1"/>
      <w:marLeft w:val="0"/>
      <w:marRight w:val="0"/>
      <w:marTop w:val="0"/>
      <w:marBottom w:val="0"/>
      <w:divBdr>
        <w:top w:val="none" w:sz="0" w:space="0" w:color="auto"/>
        <w:left w:val="none" w:sz="0" w:space="0" w:color="auto"/>
        <w:bottom w:val="none" w:sz="0" w:space="0" w:color="auto"/>
        <w:right w:val="none" w:sz="0" w:space="0" w:color="auto"/>
      </w:divBdr>
      <w:divsChild>
        <w:div w:id="984814701">
          <w:marLeft w:val="0"/>
          <w:marRight w:val="0"/>
          <w:marTop w:val="0"/>
          <w:marBottom w:val="0"/>
          <w:divBdr>
            <w:top w:val="none" w:sz="0" w:space="0" w:color="auto"/>
            <w:left w:val="none" w:sz="0" w:space="0" w:color="auto"/>
            <w:bottom w:val="none" w:sz="0" w:space="0" w:color="auto"/>
            <w:right w:val="none" w:sz="0" w:space="0" w:color="auto"/>
          </w:divBdr>
        </w:div>
      </w:divsChild>
    </w:div>
    <w:div w:id="404036504">
      <w:bodyDiv w:val="1"/>
      <w:marLeft w:val="0"/>
      <w:marRight w:val="0"/>
      <w:marTop w:val="0"/>
      <w:marBottom w:val="0"/>
      <w:divBdr>
        <w:top w:val="none" w:sz="0" w:space="0" w:color="auto"/>
        <w:left w:val="none" w:sz="0" w:space="0" w:color="auto"/>
        <w:bottom w:val="none" w:sz="0" w:space="0" w:color="auto"/>
        <w:right w:val="none" w:sz="0" w:space="0" w:color="auto"/>
      </w:divBdr>
      <w:divsChild>
        <w:div w:id="1692031483">
          <w:marLeft w:val="0"/>
          <w:marRight w:val="0"/>
          <w:marTop w:val="0"/>
          <w:marBottom w:val="0"/>
          <w:divBdr>
            <w:top w:val="none" w:sz="0" w:space="0" w:color="auto"/>
            <w:left w:val="none" w:sz="0" w:space="0" w:color="auto"/>
            <w:bottom w:val="none" w:sz="0" w:space="0" w:color="auto"/>
            <w:right w:val="none" w:sz="0" w:space="0" w:color="auto"/>
          </w:divBdr>
        </w:div>
      </w:divsChild>
    </w:div>
    <w:div w:id="424305310">
      <w:bodyDiv w:val="1"/>
      <w:marLeft w:val="0"/>
      <w:marRight w:val="0"/>
      <w:marTop w:val="0"/>
      <w:marBottom w:val="0"/>
      <w:divBdr>
        <w:top w:val="none" w:sz="0" w:space="0" w:color="auto"/>
        <w:left w:val="none" w:sz="0" w:space="0" w:color="auto"/>
        <w:bottom w:val="none" w:sz="0" w:space="0" w:color="auto"/>
        <w:right w:val="none" w:sz="0" w:space="0" w:color="auto"/>
      </w:divBdr>
      <w:divsChild>
        <w:div w:id="1743942855">
          <w:marLeft w:val="0"/>
          <w:marRight w:val="0"/>
          <w:marTop w:val="0"/>
          <w:marBottom w:val="0"/>
          <w:divBdr>
            <w:top w:val="none" w:sz="0" w:space="0" w:color="auto"/>
            <w:left w:val="none" w:sz="0" w:space="0" w:color="auto"/>
            <w:bottom w:val="none" w:sz="0" w:space="0" w:color="auto"/>
            <w:right w:val="none" w:sz="0" w:space="0" w:color="auto"/>
          </w:divBdr>
        </w:div>
      </w:divsChild>
    </w:div>
    <w:div w:id="479002800">
      <w:bodyDiv w:val="1"/>
      <w:marLeft w:val="0"/>
      <w:marRight w:val="0"/>
      <w:marTop w:val="0"/>
      <w:marBottom w:val="0"/>
      <w:divBdr>
        <w:top w:val="none" w:sz="0" w:space="0" w:color="auto"/>
        <w:left w:val="none" w:sz="0" w:space="0" w:color="auto"/>
        <w:bottom w:val="none" w:sz="0" w:space="0" w:color="auto"/>
        <w:right w:val="none" w:sz="0" w:space="0" w:color="auto"/>
      </w:divBdr>
    </w:div>
    <w:div w:id="487483676">
      <w:bodyDiv w:val="1"/>
      <w:marLeft w:val="0"/>
      <w:marRight w:val="0"/>
      <w:marTop w:val="0"/>
      <w:marBottom w:val="0"/>
      <w:divBdr>
        <w:top w:val="none" w:sz="0" w:space="0" w:color="auto"/>
        <w:left w:val="none" w:sz="0" w:space="0" w:color="auto"/>
        <w:bottom w:val="none" w:sz="0" w:space="0" w:color="auto"/>
        <w:right w:val="none" w:sz="0" w:space="0" w:color="auto"/>
      </w:divBdr>
    </w:div>
    <w:div w:id="499005065">
      <w:bodyDiv w:val="1"/>
      <w:marLeft w:val="0"/>
      <w:marRight w:val="0"/>
      <w:marTop w:val="0"/>
      <w:marBottom w:val="0"/>
      <w:divBdr>
        <w:top w:val="none" w:sz="0" w:space="0" w:color="auto"/>
        <w:left w:val="none" w:sz="0" w:space="0" w:color="auto"/>
        <w:bottom w:val="none" w:sz="0" w:space="0" w:color="auto"/>
        <w:right w:val="none" w:sz="0" w:space="0" w:color="auto"/>
      </w:divBdr>
    </w:div>
    <w:div w:id="516233578">
      <w:bodyDiv w:val="1"/>
      <w:marLeft w:val="0"/>
      <w:marRight w:val="0"/>
      <w:marTop w:val="0"/>
      <w:marBottom w:val="0"/>
      <w:divBdr>
        <w:top w:val="none" w:sz="0" w:space="0" w:color="auto"/>
        <w:left w:val="none" w:sz="0" w:space="0" w:color="auto"/>
        <w:bottom w:val="none" w:sz="0" w:space="0" w:color="auto"/>
        <w:right w:val="none" w:sz="0" w:space="0" w:color="auto"/>
      </w:divBdr>
      <w:divsChild>
        <w:div w:id="599794668">
          <w:marLeft w:val="0"/>
          <w:marRight w:val="0"/>
          <w:marTop w:val="0"/>
          <w:marBottom w:val="0"/>
          <w:divBdr>
            <w:top w:val="none" w:sz="0" w:space="0" w:color="auto"/>
            <w:left w:val="none" w:sz="0" w:space="0" w:color="auto"/>
            <w:bottom w:val="none" w:sz="0" w:space="0" w:color="auto"/>
            <w:right w:val="none" w:sz="0" w:space="0" w:color="auto"/>
          </w:divBdr>
        </w:div>
      </w:divsChild>
    </w:div>
    <w:div w:id="612514865">
      <w:bodyDiv w:val="1"/>
      <w:marLeft w:val="0"/>
      <w:marRight w:val="0"/>
      <w:marTop w:val="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
      </w:divsChild>
    </w:div>
    <w:div w:id="621883590">
      <w:bodyDiv w:val="1"/>
      <w:marLeft w:val="0"/>
      <w:marRight w:val="0"/>
      <w:marTop w:val="0"/>
      <w:marBottom w:val="0"/>
      <w:divBdr>
        <w:top w:val="none" w:sz="0" w:space="0" w:color="auto"/>
        <w:left w:val="none" w:sz="0" w:space="0" w:color="auto"/>
        <w:bottom w:val="none" w:sz="0" w:space="0" w:color="auto"/>
        <w:right w:val="none" w:sz="0" w:space="0" w:color="auto"/>
      </w:divBdr>
      <w:divsChild>
        <w:div w:id="708843773">
          <w:marLeft w:val="0"/>
          <w:marRight w:val="0"/>
          <w:marTop w:val="0"/>
          <w:marBottom w:val="0"/>
          <w:divBdr>
            <w:top w:val="none" w:sz="0" w:space="0" w:color="auto"/>
            <w:left w:val="none" w:sz="0" w:space="0" w:color="auto"/>
            <w:bottom w:val="none" w:sz="0" w:space="0" w:color="auto"/>
            <w:right w:val="none" w:sz="0" w:space="0" w:color="auto"/>
          </w:divBdr>
        </w:div>
      </w:divsChild>
    </w:div>
    <w:div w:id="802816708">
      <w:bodyDiv w:val="1"/>
      <w:marLeft w:val="0"/>
      <w:marRight w:val="0"/>
      <w:marTop w:val="0"/>
      <w:marBottom w:val="0"/>
      <w:divBdr>
        <w:top w:val="none" w:sz="0" w:space="0" w:color="auto"/>
        <w:left w:val="none" w:sz="0" w:space="0" w:color="auto"/>
        <w:bottom w:val="none" w:sz="0" w:space="0" w:color="auto"/>
        <w:right w:val="none" w:sz="0" w:space="0" w:color="auto"/>
      </w:divBdr>
      <w:divsChild>
        <w:div w:id="1497845046">
          <w:marLeft w:val="0"/>
          <w:marRight w:val="0"/>
          <w:marTop w:val="0"/>
          <w:marBottom w:val="0"/>
          <w:divBdr>
            <w:top w:val="none" w:sz="0" w:space="0" w:color="auto"/>
            <w:left w:val="none" w:sz="0" w:space="0" w:color="auto"/>
            <w:bottom w:val="none" w:sz="0" w:space="0" w:color="auto"/>
            <w:right w:val="none" w:sz="0" w:space="0" w:color="auto"/>
          </w:divBdr>
        </w:div>
      </w:divsChild>
    </w:div>
    <w:div w:id="851456697">
      <w:bodyDiv w:val="1"/>
      <w:marLeft w:val="0"/>
      <w:marRight w:val="0"/>
      <w:marTop w:val="0"/>
      <w:marBottom w:val="0"/>
      <w:divBdr>
        <w:top w:val="none" w:sz="0" w:space="0" w:color="auto"/>
        <w:left w:val="none" w:sz="0" w:space="0" w:color="auto"/>
        <w:bottom w:val="none" w:sz="0" w:space="0" w:color="auto"/>
        <w:right w:val="none" w:sz="0" w:space="0" w:color="auto"/>
      </w:divBdr>
      <w:divsChild>
        <w:div w:id="1444152335">
          <w:marLeft w:val="0"/>
          <w:marRight w:val="0"/>
          <w:marTop w:val="0"/>
          <w:marBottom w:val="0"/>
          <w:divBdr>
            <w:top w:val="none" w:sz="0" w:space="0" w:color="auto"/>
            <w:left w:val="none" w:sz="0" w:space="0" w:color="auto"/>
            <w:bottom w:val="none" w:sz="0" w:space="0" w:color="auto"/>
            <w:right w:val="none" w:sz="0" w:space="0" w:color="auto"/>
          </w:divBdr>
        </w:div>
      </w:divsChild>
    </w:div>
    <w:div w:id="910234220">
      <w:bodyDiv w:val="1"/>
      <w:marLeft w:val="0"/>
      <w:marRight w:val="0"/>
      <w:marTop w:val="0"/>
      <w:marBottom w:val="0"/>
      <w:divBdr>
        <w:top w:val="none" w:sz="0" w:space="0" w:color="auto"/>
        <w:left w:val="none" w:sz="0" w:space="0" w:color="auto"/>
        <w:bottom w:val="none" w:sz="0" w:space="0" w:color="auto"/>
        <w:right w:val="none" w:sz="0" w:space="0" w:color="auto"/>
      </w:divBdr>
      <w:divsChild>
        <w:div w:id="1047989160">
          <w:marLeft w:val="0"/>
          <w:marRight w:val="0"/>
          <w:marTop w:val="0"/>
          <w:marBottom w:val="0"/>
          <w:divBdr>
            <w:top w:val="none" w:sz="0" w:space="0" w:color="auto"/>
            <w:left w:val="none" w:sz="0" w:space="0" w:color="auto"/>
            <w:bottom w:val="none" w:sz="0" w:space="0" w:color="auto"/>
            <w:right w:val="none" w:sz="0" w:space="0" w:color="auto"/>
          </w:divBdr>
        </w:div>
      </w:divsChild>
    </w:div>
    <w:div w:id="926304198">
      <w:bodyDiv w:val="1"/>
      <w:marLeft w:val="0"/>
      <w:marRight w:val="0"/>
      <w:marTop w:val="0"/>
      <w:marBottom w:val="0"/>
      <w:divBdr>
        <w:top w:val="none" w:sz="0" w:space="0" w:color="auto"/>
        <w:left w:val="none" w:sz="0" w:space="0" w:color="auto"/>
        <w:bottom w:val="none" w:sz="0" w:space="0" w:color="auto"/>
        <w:right w:val="none" w:sz="0" w:space="0" w:color="auto"/>
      </w:divBdr>
      <w:divsChild>
        <w:div w:id="1487474357">
          <w:marLeft w:val="0"/>
          <w:marRight w:val="0"/>
          <w:marTop w:val="0"/>
          <w:marBottom w:val="0"/>
          <w:divBdr>
            <w:top w:val="none" w:sz="0" w:space="0" w:color="auto"/>
            <w:left w:val="none" w:sz="0" w:space="0" w:color="auto"/>
            <w:bottom w:val="none" w:sz="0" w:space="0" w:color="auto"/>
            <w:right w:val="none" w:sz="0" w:space="0" w:color="auto"/>
          </w:divBdr>
        </w:div>
      </w:divsChild>
    </w:div>
    <w:div w:id="949896371">
      <w:bodyDiv w:val="1"/>
      <w:marLeft w:val="0"/>
      <w:marRight w:val="0"/>
      <w:marTop w:val="0"/>
      <w:marBottom w:val="0"/>
      <w:divBdr>
        <w:top w:val="none" w:sz="0" w:space="0" w:color="auto"/>
        <w:left w:val="none" w:sz="0" w:space="0" w:color="auto"/>
        <w:bottom w:val="none" w:sz="0" w:space="0" w:color="auto"/>
        <w:right w:val="none" w:sz="0" w:space="0" w:color="auto"/>
      </w:divBdr>
      <w:divsChild>
        <w:div w:id="81415668">
          <w:marLeft w:val="0"/>
          <w:marRight w:val="0"/>
          <w:marTop w:val="0"/>
          <w:marBottom w:val="0"/>
          <w:divBdr>
            <w:top w:val="none" w:sz="0" w:space="0" w:color="auto"/>
            <w:left w:val="none" w:sz="0" w:space="0" w:color="auto"/>
            <w:bottom w:val="none" w:sz="0" w:space="0" w:color="auto"/>
            <w:right w:val="none" w:sz="0" w:space="0" w:color="auto"/>
          </w:divBdr>
        </w:div>
      </w:divsChild>
    </w:div>
    <w:div w:id="956983316">
      <w:bodyDiv w:val="1"/>
      <w:marLeft w:val="0"/>
      <w:marRight w:val="0"/>
      <w:marTop w:val="0"/>
      <w:marBottom w:val="0"/>
      <w:divBdr>
        <w:top w:val="none" w:sz="0" w:space="0" w:color="auto"/>
        <w:left w:val="none" w:sz="0" w:space="0" w:color="auto"/>
        <w:bottom w:val="none" w:sz="0" w:space="0" w:color="auto"/>
        <w:right w:val="none" w:sz="0" w:space="0" w:color="auto"/>
      </w:divBdr>
      <w:divsChild>
        <w:div w:id="183829109">
          <w:marLeft w:val="0"/>
          <w:marRight w:val="0"/>
          <w:marTop w:val="0"/>
          <w:marBottom w:val="0"/>
          <w:divBdr>
            <w:top w:val="none" w:sz="0" w:space="0" w:color="auto"/>
            <w:left w:val="none" w:sz="0" w:space="0" w:color="auto"/>
            <w:bottom w:val="none" w:sz="0" w:space="0" w:color="auto"/>
            <w:right w:val="none" w:sz="0" w:space="0" w:color="auto"/>
          </w:divBdr>
        </w:div>
      </w:divsChild>
    </w:div>
    <w:div w:id="1005783280">
      <w:bodyDiv w:val="1"/>
      <w:marLeft w:val="0"/>
      <w:marRight w:val="0"/>
      <w:marTop w:val="0"/>
      <w:marBottom w:val="0"/>
      <w:divBdr>
        <w:top w:val="none" w:sz="0" w:space="0" w:color="auto"/>
        <w:left w:val="none" w:sz="0" w:space="0" w:color="auto"/>
        <w:bottom w:val="none" w:sz="0" w:space="0" w:color="auto"/>
        <w:right w:val="none" w:sz="0" w:space="0" w:color="auto"/>
      </w:divBdr>
      <w:divsChild>
        <w:div w:id="381751072">
          <w:marLeft w:val="0"/>
          <w:marRight w:val="0"/>
          <w:marTop w:val="0"/>
          <w:marBottom w:val="0"/>
          <w:divBdr>
            <w:top w:val="none" w:sz="0" w:space="0" w:color="auto"/>
            <w:left w:val="none" w:sz="0" w:space="0" w:color="auto"/>
            <w:bottom w:val="none" w:sz="0" w:space="0" w:color="auto"/>
            <w:right w:val="none" w:sz="0" w:space="0" w:color="auto"/>
          </w:divBdr>
        </w:div>
      </w:divsChild>
    </w:div>
    <w:div w:id="1080255776">
      <w:bodyDiv w:val="1"/>
      <w:marLeft w:val="0"/>
      <w:marRight w:val="0"/>
      <w:marTop w:val="0"/>
      <w:marBottom w:val="0"/>
      <w:divBdr>
        <w:top w:val="none" w:sz="0" w:space="0" w:color="auto"/>
        <w:left w:val="none" w:sz="0" w:space="0" w:color="auto"/>
        <w:bottom w:val="none" w:sz="0" w:space="0" w:color="auto"/>
        <w:right w:val="none" w:sz="0" w:space="0" w:color="auto"/>
      </w:divBdr>
    </w:div>
    <w:div w:id="1110317288">
      <w:bodyDiv w:val="1"/>
      <w:marLeft w:val="0"/>
      <w:marRight w:val="0"/>
      <w:marTop w:val="0"/>
      <w:marBottom w:val="0"/>
      <w:divBdr>
        <w:top w:val="none" w:sz="0" w:space="0" w:color="auto"/>
        <w:left w:val="none" w:sz="0" w:space="0" w:color="auto"/>
        <w:bottom w:val="none" w:sz="0" w:space="0" w:color="auto"/>
        <w:right w:val="none" w:sz="0" w:space="0" w:color="auto"/>
      </w:divBdr>
      <w:divsChild>
        <w:div w:id="488209652">
          <w:marLeft w:val="0"/>
          <w:marRight w:val="0"/>
          <w:marTop w:val="0"/>
          <w:marBottom w:val="0"/>
          <w:divBdr>
            <w:top w:val="none" w:sz="0" w:space="0" w:color="auto"/>
            <w:left w:val="none" w:sz="0" w:space="0" w:color="auto"/>
            <w:bottom w:val="none" w:sz="0" w:space="0" w:color="auto"/>
            <w:right w:val="none" w:sz="0" w:space="0" w:color="auto"/>
          </w:divBdr>
        </w:div>
      </w:divsChild>
    </w:div>
    <w:div w:id="1120996913">
      <w:bodyDiv w:val="1"/>
      <w:marLeft w:val="0"/>
      <w:marRight w:val="0"/>
      <w:marTop w:val="0"/>
      <w:marBottom w:val="0"/>
      <w:divBdr>
        <w:top w:val="none" w:sz="0" w:space="0" w:color="auto"/>
        <w:left w:val="none" w:sz="0" w:space="0" w:color="auto"/>
        <w:bottom w:val="none" w:sz="0" w:space="0" w:color="auto"/>
        <w:right w:val="none" w:sz="0" w:space="0" w:color="auto"/>
      </w:divBdr>
      <w:divsChild>
        <w:div w:id="448820814">
          <w:marLeft w:val="0"/>
          <w:marRight w:val="0"/>
          <w:marTop w:val="0"/>
          <w:marBottom w:val="0"/>
          <w:divBdr>
            <w:top w:val="none" w:sz="0" w:space="0" w:color="auto"/>
            <w:left w:val="none" w:sz="0" w:space="0" w:color="auto"/>
            <w:bottom w:val="none" w:sz="0" w:space="0" w:color="auto"/>
            <w:right w:val="none" w:sz="0" w:space="0" w:color="auto"/>
          </w:divBdr>
        </w:div>
      </w:divsChild>
    </w:div>
    <w:div w:id="1136603158">
      <w:bodyDiv w:val="1"/>
      <w:marLeft w:val="0"/>
      <w:marRight w:val="0"/>
      <w:marTop w:val="0"/>
      <w:marBottom w:val="0"/>
      <w:divBdr>
        <w:top w:val="none" w:sz="0" w:space="0" w:color="auto"/>
        <w:left w:val="none" w:sz="0" w:space="0" w:color="auto"/>
        <w:bottom w:val="none" w:sz="0" w:space="0" w:color="auto"/>
        <w:right w:val="none" w:sz="0" w:space="0" w:color="auto"/>
      </w:divBdr>
      <w:divsChild>
        <w:div w:id="1191994887">
          <w:marLeft w:val="0"/>
          <w:marRight w:val="0"/>
          <w:marTop w:val="0"/>
          <w:marBottom w:val="0"/>
          <w:divBdr>
            <w:top w:val="none" w:sz="0" w:space="0" w:color="auto"/>
            <w:left w:val="none" w:sz="0" w:space="0" w:color="auto"/>
            <w:bottom w:val="none" w:sz="0" w:space="0" w:color="auto"/>
            <w:right w:val="none" w:sz="0" w:space="0" w:color="auto"/>
          </w:divBdr>
        </w:div>
      </w:divsChild>
    </w:div>
    <w:div w:id="1187720488">
      <w:bodyDiv w:val="1"/>
      <w:marLeft w:val="0"/>
      <w:marRight w:val="0"/>
      <w:marTop w:val="0"/>
      <w:marBottom w:val="0"/>
      <w:divBdr>
        <w:top w:val="none" w:sz="0" w:space="0" w:color="auto"/>
        <w:left w:val="none" w:sz="0" w:space="0" w:color="auto"/>
        <w:bottom w:val="none" w:sz="0" w:space="0" w:color="auto"/>
        <w:right w:val="none" w:sz="0" w:space="0" w:color="auto"/>
      </w:divBdr>
      <w:divsChild>
        <w:div w:id="775519743">
          <w:marLeft w:val="0"/>
          <w:marRight w:val="0"/>
          <w:marTop w:val="0"/>
          <w:marBottom w:val="0"/>
          <w:divBdr>
            <w:top w:val="none" w:sz="0" w:space="0" w:color="auto"/>
            <w:left w:val="none" w:sz="0" w:space="0" w:color="auto"/>
            <w:bottom w:val="none" w:sz="0" w:space="0" w:color="auto"/>
            <w:right w:val="none" w:sz="0" w:space="0" w:color="auto"/>
          </w:divBdr>
        </w:div>
      </w:divsChild>
    </w:div>
    <w:div w:id="1218928630">
      <w:bodyDiv w:val="1"/>
      <w:marLeft w:val="0"/>
      <w:marRight w:val="0"/>
      <w:marTop w:val="0"/>
      <w:marBottom w:val="0"/>
      <w:divBdr>
        <w:top w:val="none" w:sz="0" w:space="0" w:color="auto"/>
        <w:left w:val="none" w:sz="0" w:space="0" w:color="auto"/>
        <w:bottom w:val="none" w:sz="0" w:space="0" w:color="auto"/>
        <w:right w:val="none" w:sz="0" w:space="0" w:color="auto"/>
      </w:divBdr>
      <w:divsChild>
        <w:div w:id="1960188408">
          <w:marLeft w:val="0"/>
          <w:marRight w:val="0"/>
          <w:marTop w:val="0"/>
          <w:marBottom w:val="0"/>
          <w:divBdr>
            <w:top w:val="none" w:sz="0" w:space="0" w:color="auto"/>
            <w:left w:val="none" w:sz="0" w:space="0" w:color="auto"/>
            <w:bottom w:val="none" w:sz="0" w:space="0" w:color="auto"/>
            <w:right w:val="none" w:sz="0" w:space="0" w:color="auto"/>
          </w:divBdr>
        </w:div>
      </w:divsChild>
    </w:div>
    <w:div w:id="1354263207">
      <w:bodyDiv w:val="1"/>
      <w:marLeft w:val="0"/>
      <w:marRight w:val="0"/>
      <w:marTop w:val="0"/>
      <w:marBottom w:val="0"/>
      <w:divBdr>
        <w:top w:val="none" w:sz="0" w:space="0" w:color="auto"/>
        <w:left w:val="none" w:sz="0" w:space="0" w:color="auto"/>
        <w:bottom w:val="none" w:sz="0" w:space="0" w:color="auto"/>
        <w:right w:val="none" w:sz="0" w:space="0" w:color="auto"/>
      </w:divBdr>
      <w:divsChild>
        <w:div w:id="860120457">
          <w:marLeft w:val="0"/>
          <w:marRight w:val="0"/>
          <w:marTop w:val="0"/>
          <w:marBottom w:val="0"/>
          <w:divBdr>
            <w:top w:val="none" w:sz="0" w:space="0" w:color="auto"/>
            <w:left w:val="none" w:sz="0" w:space="0" w:color="auto"/>
            <w:bottom w:val="none" w:sz="0" w:space="0" w:color="auto"/>
            <w:right w:val="none" w:sz="0" w:space="0" w:color="auto"/>
          </w:divBdr>
        </w:div>
      </w:divsChild>
    </w:div>
    <w:div w:id="1360551130">
      <w:bodyDiv w:val="1"/>
      <w:marLeft w:val="0"/>
      <w:marRight w:val="0"/>
      <w:marTop w:val="0"/>
      <w:marBottom w:val="0"/>
      <w:divBdr>
        <w:top w:val="none" w:sz="0" w:space="0" w:color="auto"/>
        <w:left w:val="none" w:sz="0" w:space="0" w:color="auto"/>
        <w:bottom w:val="none" w:sz="0" w:space="0" w:color="auto"/>
        <w:right w:val="none" w:sz="0" w:space="0" w:color="auto"/>
      </w:divBdr>
      <w:divsChild>
        <w:div w:id="670525980">
          <w:marLeft w:val="0"/>
          <w:marRight w:val="0"/>
          <w:marTop w:val="0"/>
          <w:marBottom w:val="0"/>
          <w:divBdr>
            <w:top w:val="none" w:sz="0" w:space="0" w:color="auto"/>
            <w:left w:val="none" w:sz="0" w:space="0" w:color="auto"/>
            <w:bottom w:val="none" w:sz="0" w:space="0" w:color="auto"/>
            <w:right w:val="none" w:sz="0" w:space="0" w:color="auto"/>
          </w:divBdr>
        </w:div>
      </w:divsChild>
    </w:div>
    <w:div w:id="1427505720">
      <w:bodyDiv w:val="1"/>
      <w:marLeft w:val="0"/>
      <w:marRight w:val="0"/>
      <w:marTop w:val="0"/>
      <w:marBottom w:val="0"/>
      <w:divBdr>
        <w:top w:val="none" w:sz="0" w:space="0" w:color="auto"/>
        <w:left w:val="none" w:sz="0" w:space="0" w:color="auto"/>
        <w:bottom w:val="none" w:sz="0" w:space="0" w:color="auto"/>
        <w:right w:val="none" w:sz="0" w:space="0" w:color="auto"/>
      </w:divBdr>
      <w:divsChild>
        <w:div w:id="2035111033">
          <w:marLeft w:val="0"/>
          <w:marRight w:val="0"/>
          <w:marTop w:val="0"/>
          <w:marBottom w:val="0"/>
          <w:divBdr>
            <w:top w:val="none" w:sz="0" w:space="0" w:color="auto"/>
            <w:left w:val="none" w:sz="0" w:space="0" w:color="auto"/>
            <w:bottom w:val="none" w:sz="0" w:space="0" w:color="auto"/>
            <w:right w:val="none" w:sz="0" w:space="0" w:color="auto"/>
          </w:divBdr>
        </w:div>
      </w:divsChild>
    </w:div>
    <w:div w:id="1457872265">
      <w:bodyDiv w:val="1"/>
      <w:marLeft w:val="0"/>
      <w:marRight w:val="0"/>
      <w:marTop w:val="0"/>
      <w:marBottom w:val="0"/>
      <w:divBdr>
        <w:top w:val="none" w:sz="0" w:space="0" w:color="auto"/>
        <w:left w:val="none" w:sz="0" w:space="0" w:color="auto"/>
        <w:bottom w:val="none" w:sz="0" w:space="0" w:color="auto"/>
        <w:right w:val="none" w:sz="0" w:space="0" w:color="auto"/>
      </w:divBdr>
      <w:divsChild>
        <w:div w:id="1536235213">
          <w:marLeft w:val="0"/>
          <w:marRight w:val="0"/>
          <w:marTop w:val="0"/>
          <w:marBottom w:val="0"/>
          <w:divBdr>
            <w:top w:val="none" w:sz="0" w:space="0" w:color="auto"/>
            <w:left w:val="none" w:sz="0" w:space="0" w:color="auto"/>
            <w:bottom w:val="none" w:sz="0" w:space="0" w:color="auto"/>
            <w:right w:val="none" w:sz="0" w:space="0" w:color="auto"/>
          </w:divBdr>
        </w:div>
      </w:divsChild>
    </w:div>
    <w:div w:id="1502550747">
      <w:bodyDiv w:val="1"/>
      <w:marLeft w:val="0"/>
      <w:marRight w:val="0"/>
      <w:marTop w:val="0"/>
      <w:marBottom w:val="0"/>
      <w:divBdr>
        <w:top w:val="none" w:sz="0" w:space="0" w:color="auto"/>
        <w:left w:val="none" w:sz="0" w:space="0" w:color="auto"/>
        <w:bottom w:val="none" w:sz="0" w:space="0" w:color="auto"/>
        <w:right w:val="none" w:sz="0" w:space="0" w:color="auto"/>
      </w:divBdr>
      <w:divsChild>
        <w:div w:id="918179037">
          <w:marLeft w:val="0"/>
          <w:marRight w:val="0"/>
          <w:marTop w:val="0"/>
          <w:marBottom w:val="0"/>
          <w:divBdr>
            <w:top w:val="none" w:sz="0" w:space="0" w:color="auto"/>
            <w:left w:val="none" w:sz="0" w:space="0" w:color="auto"/>
            <w:bottom w:val="none" w:sz="0" w:space="0" w:color="auto"/>
            <w:right w:val="none" w:sz="0" w:space="0" w:color="auto"/>
          </w:divBdr>
        </w:div>
      </w:divsChild>
    </w:div>
    <w:div w:id="1532692081">
      <w:bodyDiv w:val="1"/>
      <w:marLeft w:val="0"/>
      <w:marRight w:val="0"/>
      <w:marTop w:val="0"/>
      <w:marBottom w:val="0"/>
      <w:divBdr>
        <w:top w:val="none" w:sz="0" w:space="0" w:color="auto"/>
        <w:left w:val="none" w:sz="0" w:space="0" w:color="auto"/>
        <w:bottom w:val="none" w:sz="0" w:space="0" w:color="auto"/>
        <w:right w:val="none" w:sz="0" w:space="0" w:color="auto"/>
      </w:divBdr>
    </w:div>
    <w:div w:id="1620330007">
      <w:bodyDiv w:val="1"/>
      <w:marLeft w:val="0"/>
      <w:marRight w:val="0"/>
      <w:marTop w:val="0"/>
      <w:marBottom w:val="0"/>
      <w:divBdr>
        <w:top w:val="none" w:sz="0" w:space="0" w:color="auto"/>
        <w:left w:val="none" w:sz="0" w:space="0" w:color="auto"/>
        <w:bottom w:val="none" w:sz="0" w:space="0" w:color="auto"/>
        <w:right w:val="none" w:sz="0" w:space="0" w:color="auto"/>
      </w:divBdr>
      <w:divsChild>
        <w:div w:id="86971666">
          <w:marLeft w:val="0"/>
          <w:marRight w:val="0"/>
          <w:marTop w:val="0"/>
          <w:marBottom w:val="0"/>
          <w:divBdr>
            <w:top w:val="none" w:sz="0" w:space="0" w:color="auto"/>
            <w:left w:val="none" w:sz="0" w:space="0" w:color="auto"/>
            <w:bottom w:val="none" w:sz="0" w:space="0" w:color="auto"/>
            <w:right w:val="none" w:sz="0" w:space="0" w:color="auto"/>
          </w:divBdr>
        </w:div>
      </w:divsChild>
    </w:div>
    <w:div w:id="1640569203">
      <w:bodyDiv w:val="1"/>
      <w:marLeft w:val="0"/>
      <w:marRight w:val="0"/>
      <w:marTop w:val="0"/>
      <w:marBottom w:val="0"/>
      <w:divBdr>
        <w:top w:val="none" w:sz="0" w:space="0" w:color="auto"/>
        <w:left w:val="none" w:sz="0" w:space="0" w:color="auto"/>
        <w:bottom w:val="none" w:sz="0" w:space="0" w:color="auto"/>
        <w:right w:val="none" w:sz="0" w:space="0" w:color="auto"/>
      </w:divBdr>
    </w:div>
    <w:div w:id="1673876602">
      <w:bodyDiv w:val="1"/>
      <w:marLeft w:val="0"/>
      <w:marRight w:val="0"/>
      <w:marTop w:val="0"/>
      <w:marBottom w:val="0"/>
      <w:divBdr>
        <w:top w:val="none" w:sz="0" w:space="0" w:color="auto"/>
        <w:left w:val="none" w:sz="0" w:space="0" w:color="auto"/>
        <w:bottom w:val="none" w:sz="0" w:space="0" w:color="auto"/>
        <w:right w:val="none" w:sz="0" w:space="0" w:color="auto"/>
      </w:divBdr>
      <w:divsChild>
        <w:div w:id="102385251">
          <w:marLeft w:val="0"/>
          <w:marRight w:val="0"/>
          <w:marTop w:val="0"/>
          <w:marBottom w:val="0"/>
          <w:divBdr>
            <w:top w:val="none" w:sz="0" w:space="0" w:color="auto"/>
            <w:left w:val="none" w:sz="0" w:space="0" w:color="auto"/>
            <w:bottom w:val="none" w:sz="0" w:space="0" w:color="auto"/>
            <w:right w:val="none" w:sz="0" w:space="0" w:color="auto"/>
          </w:divBdr>
        </w:div>
      </w:divsChild>
    </w:div>
    <w:div w:id="1723676323">
      <w:bodyDiv w:val="1"/>
      <w:marLeft w:val="0"/>
      <w:marRight w:val="0"/>
      <w:marTop w:val="0"/>
      <w:marBottom w:val="0"/>
      <w:divBdr>
        <w:top w:val="none" w:sz="0" w:space="0" w:color="auto"/>
        <w:left w:val="none" w:sz="0" w:space="0" w:color="auto"/>
        <w:bottom w:val="none" w:sz="0" w:space="0" w:color="auto"/>
        <w:right w:val="none" w:sz="0" w:space="0" w:color="auto"/>
      </w:divBdr>
      <w:divsChild>
        <w:div w:id="1515076461">
          <w:marLeft w:val="0"/>
          <w:marRight w:val="0"/>
          <w:marTop w:val="0"/>
          <w:marBottom w:val="0"/>
          <w:divBdr>
            <w:top w:val="none" w:sz="0" w:space="0" w:color="auto"/>
            <w:left w:val="none" w:sz="0" w:space="0" w:color="auto"/>
            <w:bottom w:val="none" w:sz="0" w:space="0" w:color="auto"/>
            <w:right w:val="none" w:sz="0" w:space="0" w:color="auto"/>
          </w:divBdr>
        </w:div>
      </w:divsChild>
    </w:div>
    <w:div w:id="1726904286">
      <w:bodyDiv w:val="1"/>
      <w:marLeft w:val="0"/>
      <w:marRight w:val="0"/>
      <w:marTop w:val="0"/>
      <w:marBottom w:val="0"/>
      <w:divBdr>
        <w:top w:val="none" w:sz="0" w:space="0" w:color="auto"/>
        <w:left w:val="none" w:sz="0" w:space="0" w:color="auto"/>
        <w:bottom w:val="none" w:sz="0" w:space="0" w:color="auto"/>
        <w:right w:val="none" w:sz="0" w:space="0" w:color="auto"/>
      </w:divBdr>
      <w:divsChild>
        <w:div w:id="1904292396">
          <w:marLeft w:val="0"/>
          <w:marRight w:val="0"/>
          <w:marTop w:val="0"/>
          <w:marBottom w:val="0"/>
          <w:divBdr>
            <w:top w:val="none" w:sz="0" w:space="0" w:color="auto"/>
            <w:left w:val="none" w:sz="0" w:space="0" w:color="auto"/>
            <w:bottom w:val="none" w:sz="0" w:space="0" w:color="auto"/>
            <w:right w:val="none" w:sz="0" w:space="0" w:color="auto"/>
          </w:divBdr>
        </w:div>
      </w:divsChild>
    </w:div>
    <w:div w:id="1762869556">
      <w:bodyDiv w:val="1"/>
      <w:marLeft w:val="0"/>
      <w:marRight w:val="0"/>
      <w:marTop w:val="0"/>
      <w:marBottom w:val="0"/>
      <w:divBdr>
        <w:top w:val="none" w:sz="0" w:space="0" w:color="auto"/>
        <w:left w:val="none" w:sz="0" w:space="0" w:color="auto"/>
        <w:bottom w:val="none" w:sz="0" w:space="0" w:color="auto"/>
        <w:right w:val="none" w:sz="0" w:space="0" w:color="auto"/>
      </w:divBdr>
      <w:divsChild>
        <w:div w:id="1313022224">
          <w:marLeft w:val="0"/>
          <w:marRight w:val="0"/>
          <w:marTop w:val="0"/>
          <w:marBottom w:val="0"/>
          <w:divBdr>
            <w:top w:val="none" w:sz="0" w:space="0" w:color="auto"/>
            <w:left w:val="none" w:sz="0" w:space="0" w:color="auto"/>
            <w:bottom w:val="none" w:sz="0" w:space="0" w:color="auto"/>
            <w:right w:val="none" w:sz="0" w:space="0" w:color="auto"/>
          </w:divBdr>
        </w:div>
      </w:divsChild>
    </w:div>
    <w:div w:id="1897660781">
      <w:bodyDiv w:val="1"/>
      <w:marLeft w:val="0"/>
      <w:marRight w:val="0"/>
      <w:marTop w:val="0"/>
      <w:marBottom w:val="0"/>
      <w:divBdr>
        <w:top w:val="none" w:sz="0" w:space="0" w:color="auto"/>
        <w:left w:val="none" w:sz="0" w:space="0" w:color="auto"/>
        <w:bottom w:val="none" w:sz="0" w:space="0" w:color="auto"/>
        <w:right w:val="none" w:sz="0" w:space="0" w:color="auto"/>
      </w:divBdr>
    </w:div>
    <w:div w:id="1928926649">
      <w:bodyDiv w:val="1"/>
      <w:marLeft w:val="0"/>
      <w:marRight w:val="0"/>
      <w:marTop w:val="0"/>
      <w:marBottom w:val="0"/>
      <w:divBdr>
        <w:top w:val="none" w:sz="0" w:space="0" w:color="auto"/>
        <w:left w:val="none" w:sz="0" w:space="0" w:color="auto"/>
        <w:bottom w:val="none" w:sz="0" w:space="0" w:color="auto"/>
        <w:right w:val="none" w:sz="0" w:space="0" w:color="auto"/>
      </w:divBdr>
      <w:divsChild>
        <w:div w:id="472140838">
          <w:marLeft w:val="0"/>
          <w:marRight w:val="0"/>
          <w:marTop w:val="0"/>
          <w:marBottom w:val="0"/>
          <w:divBdr>
            <w:top w:val="none" w:sz="0" w:space="0" w:color="auto"/>
            <w:left w:val="none" w:sz="0" w:space="0" w:color="auto"/>
            <w:bottom w:val="none" w:sz="0" w:space="0" w:color="auto"/>
            <w:right w:val="none" w:sz="0" w:space="0" w:color="auto"/>
          </w:divBdr>
        </w:div>
      </w:divsChild>
    </w:div>
    <w:div w:id="1968317695">
      <w:bodyDiv w:val="1"/>
      <w:marLeft w:val="0"/>
      <w:marRight w:val="0"/>
      <w:marTop w:val="0"/>
      <w:marBottom w:val="0"/>
      <w:divBdr>
        <w:top w:val="none" w:sz="0" w:space="0" w:color="auto"/>
        <w:left w:val="none" w:sz="0" w:space="0" w:color="auto"/>
        <w:bottom w:val="none" w:sz="0" w:space="0" w:color="auto"/>
        <w:right w:val="none" w:sz="0" w:space="0" w:color="auto"/>
      </w:divBdr>
      <w:divsChild>
        <w:div w:id="295306507">
          <w:marLeft w:val="0"/>
          <w:marRight w:val="0"/>
          <w:marTop w:val="0"/>
          <w:marBottom w:val="0"/>
          <w:divBdr>
            <w:top w:val="none" w:sz="0" w:space="0" w:color="auto"/>
            <w:left w:val="none" w:sz="0" w:space="0" w:color="auto"/>
            <w:bottom w:val="none" w:sz="0" w:space="0" w:color="auto"/>
            <w:right w:val="none" w:sz="0" w:space="0" w:color="auto"/>
          </w:divBdr>
        </w:div>
      </w:divsChild>
    </w:div>
    <w:div w:id="1971746845">
      <w:bodyDiv w:val="1"/>
      <w:marLeft w:val="0"/>
      <w:marRight w:val="0"/>
      <w:marTop w:val="0"/>
      <w:marBottom w:val="0"/>
      <w:divBdr>
        <w:top w:val="none" w:sz="0" w:space="0" w:color="auto"/>
        <w:left w:val="none" w:sz="0" w:space="0" w:color="auto"/>
        <w:bottom w:val="none" w:sz="0" w:space="0" w:color="auto"/>
        <w:right w:val="none" w:sz="0" w:space="0" w:color="auto"/>
      </w:divBdr>
      <w:divsChild>
        <w:div w:id="354431456">
          <w:marLeft w:val="0"/>
          <w:marRight w:val="0"/>
          <w:marTop w:val="0"/>
          <w:marBottom w:val="0"/>
          <w:divBdr>
            <w:top w:val="none" w:sz="0" w:space="0" w:color="auto"/>
            <w:left w:val="none" w:sz="0" w:space="0" w:color="auto"/>
            <w:bottom w:val="none" w:sz="0" w:space="0" w:color="auto"/>
            <w:right w:val="none" w:sz="0" w:space="0" w:color="auto"/>
          </w:divBdr>
        </w:div>
      </w:divsChild>
    </w:div>
    <w:div w:id="1993829486">
      <w:bodyDiv w:val="1"/>
      <w:marLeft w:val="0"/>
      <w:marRight w:val="0"/>
      <w:marTop w:val="0"/>
      <w:marBottom w:val="0"/>
      <w:divBdr>
        <w:top w:val="none" w:sz="0" w:space="0" w:color="auto"/>
        <w:left w:val="none" w:sz="0" w:space="0" w:color="auto"/>
        <w:bottom w:val="none" w:sz="0" w:space="0" w:color="auto"/>
        <w:right w:val="none" w:sz="0" w:space="0" w:color="auto"/>
      </w:divBdr>
      <w:divsChild>
        <w:div w:id="21715924">
          <w:marLeft w:val="0"/>
          <w:marRight w:val="0"/>
          <w:marTop w:val="0"/>
          <w:marBottom w:val="0"/>
          <w:divBdr>
            <w:top w:val="none" w:sz="0" w:space="0" w:color="auto"/>
            <w:left w:val="none" w:sz="0" w:space="0" w:color="auto"/>
            <w:bottom w:val="none" w:sz="0" w:space="0" w:color="auto"/>
            <w:right w:val="none" w:sz="0" w:space="0" w:color="auto"/>
          </w:divBdr>
        </w:div>
      </w:divsChild>
    </w:div>
    <w:div w:id="2004429778">
      <w:bodyDiv w:val="1"/>
      <w:marLeft w:val="0"/>
      <w:marRight w:val="0"/>
      <w:marTop w:val="0"/>
      <w:marBottom w:val="0"/>
      <w:divBdr>
        <w:top w:val="none" w:sz="0" w:space="0" w:color="auto"/>
        <w:left w:val="none" w:sz="0" w:space="0" w:color="auto"/>
        <w:bottom w:val="none" w:sz="0" w:space="0" w:color="auto"/>
        <w:right w:val="none" w:sz="0" w:space="0" w:color="auto"/>
      </w:divBdr>
      <w:divsChild>
        <w:div w:id="1316838343">
          <w:marLeft w:val="0"/>
          <w:marRight w:val="0"/>
          <w:marTop w:val="0"/>
          <w:marBottom w:val="0"/>
          <w:divBdr>
            <w:top w:val="none" w:sz="0" w:space="0" w:color="auto"/>
            <w:left w:val="none" w:sz="0" w:space="0" w:color="auto"/>
            <w:bottom w:val="none" w:sz="0" w:space="0" w:color="auto"/>
            <w:right w:val="none" w:sz="0" w:space="0" w:color="auto"/>
          </w:divBdr>
        </w:div>
      </w:divsChild>
    </w:div>
    <w:div w:id="2013406708">
      <w:bodyDiv w:val="1"/>
      <w:marLeft w:val="0"/>
      <w:marRight w:val="0"/>
      <w:marTop w:val="0"/>
      <w:marBottom w:val="0"/>
      <w:divBdr>
        <w:top w:val="none" w:sz="0" w:space="0" w:color="auto"/>
        <w:left w:val="none" w:sz="0" w:space="0" w:color="auto"/>
        <w:bottom w:val="none" w:sz="0" w:space="0" w:color="auto"/>
        <w:right w:val="none" w:sz="0" w:space="0" w:color="auto"/>
      </w:divBdr>
      <w:divsChild>
        <w:div w:id="369961720">
          <w:marLeft w:val="0"/>
          <w:marRight w:val="0"/>
          <w:marTop w:val="0"/>
          <w:marBottom w:val="0"/>
          <w:divBdr>
            <w:top w:val="none" w:sz="0" w:space="0" w:color="auto"/>
            <w:left w:val="none" w:sz="0" w:space="0" w:color="auto"/>
            <w:bottom w:val="none" w:sz="0" w:space="0" w:color="auto"/>
            <w:right w:val="none" w:sz="0" w:space="0" w:color="auto"/>
          </w:divBdr>
        </w:div>
      </w:divsChild>
    </w:div>
    <w:div w:id="2091735032">
      <w:bodyDiv w:val="1"/>
      <w:marLeft w:val="0"/>
      <w:marRight w:val="0"/>
      <w:marTop w:val="0"/>
      <w:marBottom w:val="0"/>
      <w:divBdr>
        <w:top w:val="none" w:sz="0" w:space="0" w:color="auto"/>
        <w:left w:val="none" w:sz="0" w:space="0" w:color="auto"/>
        <w:bottom w:val="none" w:sz="0" w:space="0" w:color="auto"/>
        <w:right w:val="none" w:sz="0" w:space="0" w:color="auto"/>
      </w:divBdr>
      <w:divsChild>
        <w:div w:id="353576245">
          <w:marLeft w:val="0"/>
          <w:marRight w:val="0"/>
          <w:marTop w:val="0"/>
          <w:marBottom w:val="0"/>
          <w:divBdr>
            <w:top w:val="none" w:sz="0" w:space="0" w:color="auto"/>
            <w:left w:val="none" w:sz="0" w:space="0" w:color="auto"/>
            <w:bottom w:val="none" w:sz="0" w:space="0" w:color="auto"/>
            <w:right w:val="none" w:sz="0" w:space="0" w:color="auto"/>
          </w:divBdr>
        </w:div>
      </w:divsChild>
    </w:div>
    <w:div w:id="2106490593">
      <w:bodyDiv w:val="1"/>
      <w:marLeft w:val="0"/>
      <w:marRight w:val="0"/>
      <w:marTop w:val="0"/>
      <w:marBottom w:val="0"/>
      <w:divBdr>
        <w:top w:val="none" w:sz="0" w:space="0" w:color="auto"/>
        <w:left w:val="none" w:sz="0" w:space="0" w:color="auto"/>
        <w:bottom w:val="none" w:sz="0" w:space="0" w:color="auto"/>
        <w:right w:val="none" w:sz="0" w:space="0" w:color="auto"/>
      </w:divBdr>
      <w:divsChild>
        <w:div w:id="477187471">
          <w:marLeft w:val="0"/>
          <w:marRight w:val="0"/>
          <w:marTop w:val="0"/>
          <w:marBottom w:val="0"/>
          <w:divBdr>
            <w:top w:val="none" w:sz="0" w:space="0" w:color="auto"/>
            <w:left w:val="none" w:sz="0" w:space="0" w:color="auto"/>
            <w:bottom w:val="none" w:sz="0" w:space="0" w:color="auto"/>
            <w:right w:val="none" w:sz="0" w:space="0" w:color="auto"/>
          </w:divBdr>
        </w:div>
      </w:divsChild>
    </w:div>
    <w:div w:id="2130932454">
      <w:bodyDiv w:val="1"/>
      <w:marLeft w:val="0"/>
      <w:marRight w:val="0"/>
      <w:marTop w:val="0"/>
      <w:marBottom w:val="0"/>
      <w:divBdr>
        <w:top w:val="none" w:sz="0" w:space="0" w:color="auto"/>
        <w:left w:val="none" w:sz="0" w:space="0" w:color="auto"/>
        <w:bottom w:val="none" w:sz="0" w:space="0" w:color="auto"/>
        <w:right w:val="none" w:sz="0" w:space="0" w:color="auto"/>
      </w:divBdr>
      <w:divsChild>
        <w:div w:id="128790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pol.cloud.pf/document.php?document=325004&amp;deb=1972&amp;fin=1974&amp;titre=TG9pIGR1IFBheXMgbsKwIDIwMTYtMTggZHUgMTkvMDUvMjAx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rvice-public.pf/art/demander-des-ai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public.pf/dgen/wp-content/uploads/sites/3/2022/06/Loi-du-Pays-n%C2%B0-2022-32-du-23_08_202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ata.ispf.pf/docs/default-source/publi-pf-bilans-et-etudes/1295-fetii-e-fenua.pdf?sfvrsn=12" TargetMode="External"/><Relationship Id="rId4" Type="http://schemas.openxmlformats.org/officeDocument/2006/relationships/settings" Target="settings.xml"/><Relationship Id="rId9" Type="http://schemas.openxmlformats.org/officeDocument/2006/relationships/hyperlink" Target="https://www.service-public.pf/dgen/wp-content/uploads/sites/3/2021/07/Arrete-n%C2%B0-1016-CM-du-11_06_2021.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service-public.pf/art/demander-des-aides/" TargetMode="External"/><Relationship Id="rId2" Type="http://schemas.openxmlformats.org/officeDocument/2006/relationships/hyperlink" Target="https://www.service-public.pf/dgen/wp-content/uploads/sites/3/2022/06/Loi-du-Pays-n%C2%B0-2022-32-du-23_08_2022.pdf" TargetMode="External"/><Relationship Id="rId1" Type="http://schemas.openxmlformats.org/officeDocument/2006/relationships/hyperlink" Target="https://www.service-public.pf/dgen/wp-content/uploads/sites/3/2021/07/Arrete-n%C2%B0-1016-CM-du-11_06_2021.pdf" TargetMode="External"/><Relationship Id="rId5" Type="http://schemas.openxmlformats.org/officeDocument/2006/relationships/hyperlink" Target="https://data.ispf.pf/docs/default-source/publi-pf-bilans-et-etudes/1295-fetii-e-fenua.pdf?sfvrsn=12" TargetMode="External"/><Relationship Id="rId4" Type="http://schemas.openxmlformats.org/officeDocument/2006/relationships/hyperlink" Target="https://lexpol.cloud.pf/document.php?document=325004&amp;deb=1972&amp;fin=1974&amp;titre=TG9pIGR1IFBheXMgbsKwIDIwMTYtMTggZHUgMTkvMDUvMjAx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AF13E-F544-A443-A2CD-798F51A0E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17</Pages>
  <Words>8111</Words>
  <Characters>44612</Characters>
  <Application>Microsoft Office Word</Application>
  <DocSecurity>0</DocSecurity>
  <Lines>371</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Yasmina Taerea</dc:creator>
  <cp:keywords/>
  <dc:description/>
  <cp:lastModifiedBy>Yasmina Taerea</cp:lastModifiedBy>
  <cp:revision>1104</cp:revision>
  <dcterms:created xsi:type="dcterms:W3CDTF">2025-03-23T04:57:00Z</dcterms:created>
  <dcterms:modified xsi:type="dcterms:W3CDTF">2025-12-19T16:51:00Z</dcterms:modified>
</cp:coreProperties>
</file>